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bookmarkStart w:id="0" w:name="_GoBack"/>
      <w:bookmarkEnd w:id="0"/>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天津市少年儿童活动中心2023年度部门决算</w:t>
      </w: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ascii="Times New Roman" w:hAnsi="Times New Roman" w:eastAsia="黑体" w:cs="黑体"/>
          <w:sz w:val="30"/>
          <w:szCs w:val="30"/>
          <w:highlight w:val="none"/>
        </w:rPr>
        <w:br w:type="page"/>
      </w:r>
    </w:p>
    <w:p>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hint="eastAsia" w:ascii="Times New Roman" w:hAnsi="Times New Roman" w:eastAsia="黑体" w:cs="黑体"/>
          <w:kern w:val="0"/>
          <w:sz w:val="44"/>
          <w:szCs w:val="44"/>
          <w:highlight w:val="none"/>
        </w:rPr>
        <w:t>目</w:t>
      </w:r>
      <w:r>
        <w:rPr>
          <w:rFonts w:hint="eastAsia" w:ascii="Times New Roman" w:hAnsi="Times New Roman" w:eastAsia="黑体" w:cs="黑体"/>
          <w:kern w:val="0"/>
          <w:sz w:val="44"/>
          <w:szCs w:val="44"/>
          <w:highlight w:val="none"/>
          <w:lang w:val="en-US" w:eastAsia="zh-CN"/>
        </w:rPr>
        <w:t xml:space="preserve">   </w:t>
      </w:r>
      <w:r>
        <w:rPr>
          <w:rFonts w:hint="eastAsia" w:ascii="Times New Roman" w:hAnsi="Times New Roman" w:eastAsia="黑体" w:cs="黑体"/>
          <w:kern w:val="0"/>
          <w:sz w:val="44"/>
          <w:szCs w:val="44"/>
          <w:highlight w:val="none"/>
        </w:rPr>
        <w:t>录</w:t>
      </w:r>
    </w:p>
    <w:p>
      <w:pPr>
        <w:autoSpaceDE w:val="0"/>
        <w:autoSpaceDN w:val="0"/>
        <w:adjustRightInd w:val="0"/>
        <w:spacing w:line="600" w:lineRule="exact"/>
        <w:jc w:val="left"/>
        <w:rPr>
          <w:rFonts w:ascii="Times New Roman" w:hAnsi="Times New Roman" w:eastAsia="黑体" w:cs="黑体"/>
          <w:kern w:val="0"/>
          <w:sz w:val="30"/>
          <w:szCs w:val="30"/>
          <w:highlight w:val="none"/>
        </w:rPr>
      </w:pP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第一部分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概</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况</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一、主要职责</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二、机构设置</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第二部分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二、收入决算表（按功能分类列示）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三、收入决算表（按单位列示）</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五、财政拨款收入支出决算总表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七、一般公共预算财政拨款基本支出决算表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八、政府性基金预算财政拨款收入支出决算表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九、国有资本经营预算财政拨款收入支出决算表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十一、项目支出决算表</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十二、关于空表的说明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第三部分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四、财政拨款收支决算总体情况说明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五、一般公共预算财政拨款支出决算情况说明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六、一般公共预算财政拨款基本支出决算情况说明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七、政府性基金预算财政拨款收支决算情况说明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八、国有资本经营预算财政拨款收支决算情况说明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十、机关运行经费支出情况说明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十一、政府采购支出情况说明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十二、国有资产占有使用情况说明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十三、预算绩效情况说明</w:t>
      </w:r>
    </w:p>
    <w:p>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lang w:val="en"/>
        </w:rPr>
      </w:pPr>
      <w:r>
        <w:rPr>
          <w:rFonts w:hint="eastAsia" w:ascii="Times New Roman" w:hAnsi="Times New Roman" w:eastAsia="仿宋_GB2312" w:cs="仿宋_GB2312"/>
          <w:kern w:val="0"/>
          <w:sz w:val="30"/>
          <w:szCs w:val="30"/>
          <w:highlight w:val="none"/>
        </w:rPr>
        <w:t>十四、教育、医疗卫生、社会保障和就业、住房保障、涉农补贴等民生支出情况说明</w:t>
      </w:r>
    </w:p>
    <w:p>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lang w:val="en"/>
        </w:rPr>
      </w:pPr>
      <w:r>
        <w:rPr>
          <w:rFonts w:hint="eastAsia" w:ascii="Times New Roman" w:hAnsi="Times New Roman" w:eastAsia="方正小标宋简体" w:cs="方正小标宋简体"/>
          <w:kern w:val="0"/>
          <w:sz w:val="30"/>
          <w:szCs w:val="30"/>
          <w:highlight w:val="none"/>
          <w:lang w:val="en"/>
        </w:rPr>
        <w:t>第四部分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val="en"/>
        </w:rPr>
        <w:t>名词解释</w:t>
      </w:r>
    </w:p>
    <w:p>
      <w:pPr>
        <w:autoSpaceDE w:val="0"/>
        <w:autoSpaceDN w:val="0"/>
        <w:adjustRightInd w:val="0"/>
        <w:spacing w:line="700" w:lineRule="exact"/>
        <w:jc w:val="left"/>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第一部分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概</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况</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一、主要职责</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为少年儿童开展校外教育教学和活动提供管理与服务。组织少年儿童主题公益文化活动；对少年儿童开展爱国主义教育、少年队教育、素质教育；开展校外活动和国际交流活动；开展校外教育教学、理论研讨，为少年儿童提供教学培训服务；承担团市委交办的其他事项。</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二、机构设置</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少年儿童活动中心内设16个为：办公室、党群宣传部、人力资源部、财务资产部、教育教学管理部、主题教育活动部、社会教育阵地部、校外教育研究部、音乐舞蹈部、科技体育部、美术书法部、表演文学部、幼教部、安保监督部、物业管理部、服务膳食部；下辖0个预算单位。纳入天津市少年儿童活动中心2023年度部门决算编制范围的单位包括：</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1.天津市少年儿童活动中心部门本级</w:t>
      </w:r>
    </w:p>
    <w:p>
      <w:pPr>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第二部分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年度部门决算表</w:t>
      </w:r>
    </w:p>
    <w:p>
      <w:pPr>
        <w:autoSpaceDE w:val="0"/>
        <w:autoSpaceDN w:val="0"/>
        <w:adjustRightInd w:val="0"/>
        <w:spacing w:line="600" w:lineRule="exact"/>
        <w:jc w:val="left"/>
        <w:rPr>
          <w:rFonts w:ascii="Times New Roman" w:hAnsi="Times New Roman" w:eastAsia="方正小标宋简体" w:cs="Times New Roman"/>
          <w:kern w:val="0"/>
          <w:sz w:val="24"/>
          <w:szCs w:val="24"/>
          <w:highlight w:val="none"/>
        </w:rPr>
      </w:pP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二、《收入决算表（按功能分类列示）》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三、《收入决算表（按单位列示）》</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四、《支出决算表》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五、《财政拨款收入支出决算总表》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六、《一般公共预算财政拨款支出决算表》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七、《一般公共预算财政拨款基本支出决算表》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八、《政府性基金预算财政拨款收入支出决算表》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九、《国有资本经营预算财政拨款收入支出决算表》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十、《财政拨款</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三公</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经费支出决算表》</w:t>
      </w: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十一、《项目支出决算表》</w:t>
      </w:r>
    </w:p>
    <w:p>
      <w:pPr>
        <w:autoSpaceDE w:val="0"/>
        <w:autoSpaceDN w:val="0"/>
        <w:adjustRightInd w:val="0"/>
        <w:spacing w:line="800" w:lineRule="exact"/>
        <w:jc w:val="left"/>
        <w:rPr>
          <w:rFonts w:ascii="Times New Roman" w:hAnsi="Times New Roman" w:eastAsia="楷体" w:cs="楷体"/>
          <w:kern w:val="0"/>
          <w:sz w:val="30"/>
          <w:szCs w:val="30"/>
          <w:highlight w:val="none"/>
        </w:rPr>
      </w:pPr>
      <w:r>
        <w:rPr>
          <w:rFonts w:hint="eastAsia" w:ascii="Times New Roman" w:hAnsi="Times New Roman" w:eastAsia="楷体" w:cs="楷体"/>
          <w:kern w:val="0"/>
          <w:sz w:val="30"/>
          <w:szCs w:val="30"/>
          <w:highlight w:val="none"/>
        </w:rPr>
        <w:t>注：以上决算公开表均作为附表，附于决算公开说明文档后。</w:t>
      </w:r>
    </w:p>
    <w:p>
      <w:pPr>
        <w:autoSpaceDE w:val="0"/>
        <w:autoSpaceDN w:val="0"/>
        <w:adjustRightInd w:val="0"/>
        <w:spacing w:line="600" w:lineRule="exact"/>
        <w:jc w:val="left"/>
        <w:rPr>
          <w:rFonts w:ascii="Times New Roman" w:hAnsi="Times New Roman" w:eastAsia="黑体" w:cs="黑体"/>
          <w:b/>
          <w:bCs/>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黑体" w:cs="黑体"/>
          <w:b/>
          <w:bCs/>
          <w:kern w:val="0"/>
          <w:sz w:val="30"/>
          <w:szCs w:val="30"/>
          <w:highlight w:val="none"/>
        </w:rPr>
        <w:t>十二、关于空表的说明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1.天津市少年儿童活动中心2023年度政府性基金预算财政拨款收入支出决算表为空表。</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2.天津市少年儿童活动中心2023年度国有资本经营预算财政拨款收入支出决算表为空表。</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3.天津市少年儿童活动中心2023年度财政拨款“三公”经费支出决算表为空表。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第三部分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年度部门决算情况说明</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一、收入支出决算总体情况说明</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val="zh-CN" w:eastAsia="zh-CN"/>
        </w:rPr>
        <w:t>天津市少年儿童活动中心2023年度收入、支出决算总计</w:t>
      </w:r>
      <w:r>
        <w:rPr>
          <w:rFonts w:hint="eastAsia" w:ascii="Times New Roman" w:hAnsi="Times New Roman" w:eastAsia="仿宋_GB2312" w:cs="仿宋_GB2312"/>
          <w:sz w:val="30"/>
          <w:szCs w:val="30"/>
          <w:highlight w:val="none"/>
          <w:lang w:eastAsia="zh-CN"/>
        </w:rPr>
        <w:t>184,881,115.93元，与2022年度相比，收、支总计各增加84,363,588.53元，增长83.93%，</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：市场经济状况向好，业务恢复正常，收入及支出均增加。</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二、</w:t>
      </w:r>
      <w:r>
        <w:rPr>
          <w:rFonts w:hint="eastAsia" w:ascii="Times New Roman" w:hAnsi="Times New Roman" w:eastAsia="黑体" w:cs="黑体"/>
          <w:b/>
          <w:bCs/>
          <w:kern w:val="0"/>
          <w:sz w:val="30"/>
          <w:szCs w:val="30"/>
          <w:highlight w:val="none"/>
        </w:rPr>
        <w:t>收入决算情况</w:t>
      </w:r>
      <w:r>
        <w:rPr>
          <w:rFonts w:hint="eastAsia" w:ascii="Times New Roman" w:hAnsi="Times New Roman" w:eastAsia="黑体" w:cs="黑体"/>
          <w:b/>
          <w:bCs/>
          <w:kern w:val="0"/>
          <w:sz w:val="30"/>
          <w:szCs w:val="30"/>
          <w:highlight w:val="none"/>
          <w:lang w:val="zh-CN"/>
        </w:rPr>
        <w:t>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天津市少年儿童活动中心</w:t>
      </w:r>
      <w:r>
        <w:rPr>
          <w:rFonts w:hint="eastAsia" w:ascii="Times New Roman" w:hAnsi="Times New Roman" w:eastAsia="仿宋_GB2312" w:cs="Times New Roman"/>
          <w:sz w:val="30"/>
          <w:szCs w:val="30"/>
          <w:highlight w:val="none"/>
          <w:lang w:eastAsia="zh-CN"/>
        </w:rPr>
        <w:t>2023</w:t>
      </w:r>
      <w:r>
        <w:rPr>
          <w:rFonts w:hint="eastAsia" w:ascii="Times New Roman" w:hAnsi="Times New Roman" w:eastAsia="仿宋_GB2312" w:cs="仿宋_GB2312"/>
          <w:sz w:val="30"/>
          <w:szCs w:val="30"/>
          <w:highlight w:val="none"/>
          <w:lang w:val="zh-CN"/>
        </w:rPr>
        <w:t>年度本年收入合计</w:t>
      </w:r>
      <w:r>
        <w:rPr>
          <w:rFonts w:hint="eastAsia" w:ascii="Times New Roman" w:hAnsi="Times New Roman" w:eastAsia="仿宋_GB2312" w:cs="Times New Roman"/>
          <w:sz w:val="30"/>
          <w:szCs w:val="30"/>
          <w:highlight w:val="none"/>
          <w:lang w:eastAsia="zh-CN"/>
        </w:rPr>
        <w:t>153,708,811.20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eastAsia="zh-CN"/>
        </w:rPr>
        <w:t>增加53,191,283.80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lang w:val="zh-CN"/>
        </w:rPr>
        <w:t>主要原因是</w:t>
      </w:r>
      <w:r>
        <w:rPr>
          <w:rFonts w:hint="eastAsia"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lang w:eastAsia="zh-CN"/>
        </w:rPr>
        <w:t>市场经济状况向好，业务恢复正常，收入及支出均增加。</w:t>
      </w:r>
    </w:p>
    <w:p>
      <w:pPr>
        <w:autoSpaceDE w:val="0"/>
        <w:autoSpaceDN w:val="0"/>
        <w:adjustRightInd w:val="0"/>
        <w:spacing w:line="600" w:lineRule="exact"/>
        <w:ind w:firstLine="600"/>
        <w:jc w:val="left"/>
        <w:rPr>
          <w:rFonts w:hint="eastAsia" w:ascii="Times New Roman" w:hAnsi="Times New Roman" w:eastAsia="宋体" w:cs="Times New Roman"/>
          <w:sz w:val="30"/>
          <w:szCs w:val="30"/>
          <w:highlight w:val="none"/>
          <w:lang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lang w:val="zh-CN"/>
        </w:rPr>
        <w:t>一般公共预算财政拨款收入</w:t>
      </w:r>
      <w:r>
        <w:rPr>
          <w:rFonts w:hint="eastAsia" w:ascii="Times New Roman" w:hAnsi="Times New Roman" w:eastAsia="仿宋_GB2312" w:cs="Times New Roman"/>
          <w:sz w:val="30"/>
          <w:szCs w:val="30"/>
          <w:highlight w:val="none"/>
          <w:lang w:eastAsia="zh-CN"/>
        </w:rPr>
        <w:t>23,585,000.00</w:t>
      </w:r>
      <w:r>
        <w:rPr>
          <w:rFonts w:hint="eastAsia" w:ascii="Times New Roman" w:hAnsi="Times New Roman" w:eastAsia="仿宋_GB2312" w:cs="仿宋_GB2312"/>
          <w:sz w:val="30"/>
          <w:szCs w:val="30"/>
          <w:highlight w:val="none"/>
          <w:lang w:val="zh-CN"/>
        </w:rPr>
        <w:t>元</w:t>
      </w:r>
      <w:r>
        <w:rPr>
          <w:rFonts w:ascii="Times New Roman" w:hAnsi="Times New Roman" w:eastAsia="仿宋_GB2312" w:cs="仿宋_GB2312"/>
          <w:sz w:val="30"/>
          <w:szCs w:val="30"/>
          <w:highlight w:val="none"/>
          <w:lang w:val="zh-CN"/>
        </w:rPr>
        <w:t>，占</w:t>
      </w:r>
      <w:r>
        <w:rPr>
          <w:rFonts w:hint="eastAsia" w:ascii="Times New Roman" w:hAnsi="Times New Roman" w:eastAsia="仿宋_GB2312" w:cs="Times New Roman"/>
          <w:sz w:val="30"/>
          <w:szCs w:val="30"/>
          <w:highlight w:val="none"/>
          <w:lang w:eastAsia="zh-CN"/>
        </w:rPr>
        <w:t>15.34</w:t>
      </w:r>
      <w:r>
        <w:rPr>
          <w:rFonts w:hint="eastAsia" w:ascii="Times New Roman" w:hAnsi="Times New Roman" w:eastAsia="宋体" w:cs="Times New Roman"/>
          <w:sz w:val="30"/>
          <w:szCs w:val="30"/>
          <w:highlight w:val="none"/>
          <w:lang w:eastAsia="zh-CN"/>
        </w:rPr>
        <w:t>%；</w:t>
      </w:r>
    </w:p>
    <w:p>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政府性基金预算财政拨款收入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国有资本经营预算财政拨款收入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财政专户管理资金收入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事业收入</w:t>
      </w:r>
      <w:r>
        <w:rPr>
          <w:rFonts w:hint="eastAsia" w:ascii="Times New Roman" w:hAnsi="Times New Roman" w:eastAsia="仿宋_GB2312" w:cs="仿宋_GB2312"/>
          <w:sz w:val="30"/>
          <w:szCs w:val="30"/>
          <w:highlight w:val="none"/>
          <w:lang w:val="zh-CN"/>
        </w:rPr>
        <w:t>84,107,612.02元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54.72%；</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事业单位经营收入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上级补助收入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eastAsia="仿宋_GB2312"/>
          <w:sz w:val="30"/>
          <w:szCs w:val="30"/>
          <w:highlight w:val="none"/>
        </w:rPr>
        <w:t>附属单位上缴收入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en-US" w:eastAsia="zh-CN"/>
        </w:rPr>
      </w:pPr>
      <w:r>
        <w:rPr>
          <w:rFonts w:ascii="Times New Roman" w:hAnsi="Times New Roman" w:eastAsia="仿宋_GB2312" w:cs="仿宋_GB2312"/>
          <w:sz w:val="30"/>
          <w:szCs w:val="30"/>
          <w:highlight w:val="none"/>
          <w:lang w:val="zh-CN"/>
        </w:rPr>
        <w:t>其他收入</w:t>
      </w:r>
      <w:r>
        <w:rPr>
          <w:rFonts w:hint="eastAsia" w:ascii="Times New Roman" w:hAnsi="Times New Roman" w:eastAsia="仿宋_GB2312" w:cs="仿宋_GB2312"/>
          <w:sz w:val="30"/>
          <w:szCs w:val="30"/>
          <w:highlight w:val="none"/>
          <w:lang w:val="zh-CN"/>
        </w:rPr>
        <w:t>46,016,199.18元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29.94%</w:t>
      </w:r>
      <w:r>
        <w:rPr>
          <w:rFonts w:hint="eastAsia" w:ascii="Times New Roman" w:hAnsi="Times New Roman" w:eastAsia="仿宋_GB2312" w:cs="仿宋_GB2312"/>
          <w:sz w:val="30"/>
          <w:szCs w:val="30"/>
          <w:highlight w:val="none"/>
          <w:lang w:val="zh-CN" w:eastAsia="zh-CN"/>
        </w:rPr>
        <w:t>。</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三、支出</w:t>
      </w:r>
      <w:r>
        <w:rPr>
          <w:rFonts w:hint="eastAsia" w:ascii="Times New Roman" w:hAnsi="Times New Roman" w:eastAsia="黑体" w:cs="黑体"/>
          <w:b/>
          <w:bCs/>
          <w:kern w:val="0"/>
          <w:sz w:val="30"/>
          <w:szCs w:val="30"/>
          <w:highlight w:val="none"/>
        </w:rPr>
        <w:t>决算情况说明</w:t>
      </w:r>
    </w:p>
    <w:p>
      <w:pPr>
        <w:autoSpaceDE w:val="0"/>
        <w:autoSpaceDN w:val="0"/>
        <w:adjustRightInd w:val="0"/>
        <w:spacing w:line="58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天津市少年儿童活动中心</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年度本年支出合计</w:t>
      </w:r>
      <w:r>
        <w:rPr>
          <w:rFonts w:hint="eastAsia" w:ascii="Times New Roman" w:hAnsi="Times New Roman" w:eastAsia="仿宋_GB2312" w:cs="仿宋_GB2312"/>
          <w:sz w:val="30"/>
          <w:szCs w:val="30"/>
          <w:highlight w:val="none"/>
          <w:lang w:eastAsia="zh-CN"/>
        </w:rPr>
        <w:t>106,861,368.93</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13,002,774.64</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lang w:eastAsia="zh-CN"/>
        </w:rPr>
        <w:t>市场经济状况向好，业务恢复正常，收入及支出均增加。</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val="en-US"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rPr>
        <w:t>基本支出</w:t>
      </w:r>
      <w:r>
        <w:rPr>
          <w:rFonts w:hint="eastAsia" w:ascii="Times New Roman" w:hAnsi="Times New Roman" w:eastAsia="仿宋_GB2312" w:cs="仿宋_GB2312"/>
          <w:sz w:val="30"/>
          <w:szCs w:val="30"/>
          <w:highlight w:val="none"/>
          <w:lang w:eastAsia="zh-CN"/>
        </w:rPr>
        <w:t>103,101,368.93元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w:t>
      </w:r>
      <w:r>
        <w:rPr>
          <w:rFonts w:hint="eastAsia" w:ascii="Times New Roman" w:hAnsi="Times New Roman" w:eastAsia="仿宋_GB2312" w:cs="仿宋_GB2312"/>
          <w:sz w:val="30"/>
          <w:szCs w:val="30"/>
          <w:highlight w:val="none"/>
          <w:lang w:val="en-US" w:eastAsia="zh-CN"/>
        </w:rPr>
        <w:t>96.48</w:t>
      </w:r>
      <w:r>
        <w:rPr>
          <w:rFonts w:hint="eastAsia" w:ascii="Times New Roman" w:hAnsi="Times New Roman" w:eastAsia="仿宋_GB2312" w:cs="仿宋_GB2312"/>
          <w:sz w:val="30"/>
          <w:szCs w:val="30"/>
          <w:highlight w:val="none"/>
          <w:lang w:eastAsia="zh-CN"/>
        </w:rPr>
        <w:t>%；</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项目支出</w:t>
      </w:r>
      <w:r>
        <w:rPr>
          <w:rFonts w:hint="eastAsia" w:ascii="Times New Roman" w:hAnsi="Times New Roman" w:eastAsia="仿宋_GB2312" w:cs="仿宋_GB2312"/>
          <w:sz w:val="30"/>
          <w:szCs w:val="30"/>
          <w:highlight w:val="none"/>
          <w:lang w:eastAsia="zh-CN"/>
        </w:rPr>
        <w:t>3,760,000.00元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占3.52%；</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上缴上级支出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经营支出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r>
        <w:rPr>
          <w:rFonts w:ascii="Times New Roman" w:hAnsi="Times New Roman" w:eastAsia="仿宋_GB2312" w:cs="仿宋_GB2312"/>
          <w:sz w:val="30"/>
          <w:szCs w:val="30"/>
          <w:highlight w:val="none"/>
        </w:rPr>
        <w:t>对附属单位补助支出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四、财政拨款收支决算总体情况说明</w:t>
      </w:r>
    </w:p>
    <w:p>
      <w:pPr>
        <w:autoSpaceDE w:val="0"/>
        <w:autoSpaceDN w:val="0"/>
        <w:adjustRightInd w:val="0"/>
        <w:spacing w:line="580" w:lineRule="exact"/>
        <w:ind w:firstLine="600"/>
        <w:jc w:val="left"/>
        <w:rPr>
          <w:rFonts w:ascii="Times New Roman" w:hAnsi="Times New Roman" w:eastAsia="仿宋_GB2312" w:cs="仿宋_GB2312"/>
          <w:sz w:val="30"/>
          <w:szCs w:val="30"/>
          <w:highlight w:val="none"/>
        </w:rPr>
      </w:pPr>
      <w:r>
        <w:rPr>
          <w:rFonts w:hint="eastAsia" w:ascii="Times New Roman" w:hAnsi="Times New Roman" w:eastAsia="仿宋_GB2312" w:cs="仿宋_GB2312"/>
          <w:sz w:val="30"/>
          <w:szCs w:val="30"/>
          <w:highlight w:val="none"/>
          <w:lang w:eastAsia="zh-CN"/>
        </w:rPr>
        <w:t>天津市少年儿童活动中心</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年度财政拨款收入、支出决算总计</w:t>
      </w:r>
      <w:r>
        <w:rPr>
          <w:rFonts w:hint="eastAsia" w:ascii="Times New Roman" w:hAnsi="Times New Roman" w:eastAsia="仿宋_GB2312" w:cs="Times New Roman"/>
          <w:sz w:val="30"/>
          <w:szCs w:val="30"/>
          <w:highlight w:val="none"/>
          <w:lang w:val="zh-CN"/>
        </w:rPr>
        <w:t>23,585,000.00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年度相比，财政拨款收、支总计各</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2,565,000.00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sz w:val="30"/>
          <w:szCs w:val="30"/>
          <w:highlight w:val="none"/>
          <w:lang w:eastAsia="zh-CN"/>
        </w:rPr>
        <w:t>12.2</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lang w:eastAsia="zh-CN"/>
        </w:rPr>
        <w:t>原因是项目收入增加2022年与2023年美育课堂专项以及新宫建设工程尾款专项。</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五、一般公共预算财政拨款支出决算情况说明</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（一）总体情况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天津市少年儿童活动中心2023年度部门决算一般公共预算财政拨款支出</w:t>
      </w:r>
      <w:r>
        <w:rPr>
          <w:rFonts w:hint="eastAsia" w:ascii="Times New Roman" w:hAnsi="Times New Roman" w:eastAsia="仿宋_GB2312" w:cs="仿宋_GB2312"/>
          <w:sz w:val="30"/>
          <w:szCs w:val="30"/>
          <w:highlight w:val="none"/>
          <w:lang w:val="zh-CN" w:eastAsia="zh-CN"/>
        </w:rPr>
        <w:t>合</w:t>
      </w:r>
      <w:r>
        <w:rPr>
          <w:rFonts w:hint="eastAsia" w:ascii="Times New Roman" w:hAnsi="Times New Roman" w:eastAsia="仿宋_GB2312" w:cs="仿宋_GB2312"/>
          <w:sz w:val="30"/>
          <w:szCs w:val="30"/>
          <w:highlight w:val="none"/>
          <w:lang w:eastAsia="zh-CN"/>
        </w:rPr>
        <w:t>计23,585,000.00元，占本年支出合计的22.07%，与2022年度相比，一般公共预算财政拨款支出</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2,565,000.00元，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sz w:val="30"/>
          <w:szCs w:val="30"/>
          <w:highlight w:val="none"/>
          <w:lang w:eastAsia="zh-CN"/>
        </w:rPr>
        <w:t>12.2%，</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：原因是项目收入增加2022年与2023年美育课堂专项以及新宫建设工程尾款专项。</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w:t>
      </w:r>
      <w:r>
        <w:rPr>
          <w:rFonts w:hint="eastAsia" w:ascii="Times New Roman" w:hAnsi="Times New Roman" w:eastAsia="楷体" w:cs="楷体"/>
          <w:b/>
          <w:bCs/>
          <w:kern w:val="0"/>
          <w:sz w:val="30"/>
          <w:szCs w:val="30"/>
          <w:highlight w:val="none"/>
          <w:lang w:val="zh-CN"/>
        </w:rPr>
        <w:t>支出结构</w:t>
      </w:r>
      <w:r>
        <w:rPr>
          <w:rFonts w:hint="eastAsia" w:ascii="Times New Roman" w:hAnsi="Times New Roman" w:eastAsia="楷体" w:cs="楷体"/>
          <w:b/>
          <w:bCs/>
          <w:kern w:val="0"/>
          <w:sz w:val="30"/>
          <w:szCs w:val="30"/>
          <w:highlight w:val="none"/>
        </w:rPr>
        <w:t>情况</w:t>
      </w:r>
    </w:p>
    <w:p>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2023</w:t>
      </w:r>
      <w:r>
        <w:rPr>
          <w:rFonts w:hint="eastAsia" w:ascii="Times New Roman" w:hAnsi="Times New Roman" w:eastAsia="仿宋_GB2312" w:cs="仿宋_GB2312"/>
          <w:sz w:val="30"/>
          <w:szCs w:val="30"/>
          <w:highlight w:val="none"/>
        </w:rPr>
        <w:t>年度一般公共预算财政拨款支出</w:t>
      </w:r>
      <w:r>
        <w:rPr>
          <w:rFonts w:hint="eastAsia" w:ascii="Times New Roman" w:hAnsi="Times New Roman" w:eastAsia="仿宋_GB2312" w:cs="Times New Roman"/>
          <w:sz w:val="30"/>
          <w:szCs w:val="30"/>
          <w:highlight w:val="none"/>
          <w:lang w:eastAsia="zh-CN"/>
        </w:rPr>
        <w:t>23,585,000.00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主要用于以下方面：</w:t>
      </w:r>
      <w:r>
        <w:rPr>
          <w:rFonts w:hint="eastAsia" w:ascii="Times New Roman" w:hAnsi="Times New Roman" w:eastAsia="仿宋_GB2312" w:cs="仿宋_GB2312"/>
          <w:sz w:val="30"/>
          <w:szCs w:val="30"/>
          <w:highlight w:val="none"/>
          <w:lang w:eastAsia="zh-CN"/>
        </w:rPr>
        <w:t>1、教育支出16,436,000.00元，占69.7%；</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2、社会保障和就业支出3,293,000.00元，占14%；</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3、卫生健康支出996,000.00元，占4.2%；</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4、债务付息支出70,000元，占0.3%；</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5、一般公共服务支出2,790,000元，占11.8%。</w:t>
      </w:r>
    </w:p>
    <w:p>
      <w:pPr>
        <w:autoSpaceDE w:val="0"/>
        <w:autoSpaceDN w:val="0"/>
        <w:adjustRightInd w:val="0"/>
        <w:spacing w:line="600" w:lineRule="exact"/>
        <w:ind w:left="480"/>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（三）具体情况</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eastAsia="zh-CN"/>
        </w:rPr>
        <w:t>2023</w:t>
      </w:r>
      <w:r>
        <w:rPr>
          <w:rFonts w:hint="eastAsia" w:ascii="Times New Roman" w:hAnsi="Times New Roman" w:eastAsia="仿宋_GB2312" w:cs="仿宋_GB2312"/>
          <w:kern w:val="0"/>
          <w:sz w:val="30"/>
          <w:szCs w:val="30"/>
          <w:highlight w:val="none"/>
        </w:rPr>
        <w:t>年度一般公共预算财政拨款支出年初预算为</w:t>
      </w:r>
      <w:r>
        <w:rPr>
          <w:rFonts w:hint="eastAsia" w:ascii="Times New Roman" w:hAnsi="Times New Roman" w:eastAsia="仿宋_GB2312" w:cs="Times New Roman"/>
          <w:sz w:val="30"/>
          <w:szCs w:val="30"/>
          <w:highlight w:val="none"/>
          <w:lang w:eastAsia="zh-CN"/>
        </w:rPr>
        <w:t>21,080,000.00</w:t>
      </w:r>
      <w:r>
        <w:rPr>
          <w:rFonts w:hint="eastAsia" w:ascii="Times New Roman" w:hAnsi="Times New Roman" w:eastAsia="仿宋_GB2312" w:cs="仿宋_GB2312"/>
          <w:kern w:val="0"/>
          <w:sz w:val="30"/>
          <w:szCs w:val="30"/>
          <w:highlight w:val="none"/>
        </w:rPr>
        <w:t>元，支出决算为</w:t>
      </w:r>
      <w:r>
        <w:rPr>
          <w:rFonts w:hint="eastAsia" w:ascii="Times New Roman" w:hAnsi="Times New Roman" w:eastAsia="仿宋_GB2312" w:cs="Times New Roman"/>
          <w:sz w:val="30"/>
          <w:szCs w:val="30"/>
          <w:highlight w:val="none"/>
          <w:lang w:eastAsia="zh-CN"/>
        </w:rPr>
        <w:t>23,585,000.00</w:t>
      </w:r>
      <w:r>
        <w:rPr>
          <w:rFonts w:hint="eastAsia" w:ascii="Times New Roman" w:hAnsi="Times New Roman" w:eastAsia="仿宋_GB2312" w:cs="仿宋_GB2312"/>
          <w:kern w:val="0"/>
          <w:sz w:val="30"/>
          <w:szCs w:val="30"/>
          <w:highlight w:val="none"/>
        </w:rPr>
        <w:t>元，完成年初预算的</w:t>
      </w:r>
      <w:r>
        <w:rPr>
          <w:rFonts w:hint="eastAsia" w:ascii="Times New Roman" w:hAnsi="Times New Roman" w:eastAsia="仿宋_GB2312" w:cs="Times New Roman"/>
          <w:sz w:val="30"/>
          <w:szCs w:val="30"/>
          <w:highlight w:val="none"/>
          <w:lang w:eastAsia="zh-CN"/>
        </w:rPr>
        <w:t>111.88%</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sz w:val="30"/>
          <w:szCs w:val="30"/>
          <w:highlight w:val="none"/>
          <w:lang w:eastAsia="zh-CN"/>
        </w:rPr>
        <w:t>1.“教育支出—其他教育支出—其他教育支出”年初预算为16,721,000.00元，支出决算为16,436,000.00元，完成年初预算的98.3%。决算数小于年初预算数的主要原因是未休年假津贴未发放上缴。</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2.“社会保障和就业支出—行政事业单位养老支出—机关事业单位基本养老保险缴费支出”年初预算为2,195,000.00元，支出决算为2,195,000.00元，完成年初预算的100.00%。</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3.“社会保障和就业支出—行政事业单位养老支出—机关事业单位职业年金缴费支出”年初预算为1,098,000.00元，支出决算为1,098,000.00元，完成年初预算的100.00%。</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4.“卫生健康支出—行政事业单位医疗—事业单位医疗”年初预算为720,000.00元，支出决算为720,000.00元，完成年初预算的100.00%。</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5.“卫生健康支出—行政事业单位医疗—其他行政事业单位医疗支出”年初预算为276,000.00元，支出决算为276,000.00元，完成年初预算的100.00%。</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6.“债务付息支出—地方政府一般债务付息支出—地方政府一般债务付息支出”年初预算为70,000.00元，支出决算为70,000.00元，完成年初预算的100.00%。</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7.“一般公共服务支出—群众团体事务—其他群众团体事务支出”年初预算为0.00元，支出决算为2,790,000.00元，完成年初预算的0.00%，决算数大于年初预算数的主要原因是此项项目预算为2022年末审批，于2023年追加专项，并于2023年当年支付完毕。</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六、一般公共预算财政拨款基本支出决算情况说明</w:t>
      </w:r>
    </w:p>
    <w:p>
      <w:pPr>
        <w:autoSpaceDE w:val="0"/>
        <w:autoSpaceDN w:val="0"/>
        <w:adjustRightInd w:val="0"/>
        <w:spacing w:line="600" w:lineRule="exact"/>
        <w:ind w:firstLine="72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天津市少年儿童活动中心</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年度部门决算一般公共预算财政拨款基本支出合计</w:t>
      </w:r>
      <w:r>
        <w:rPr>
          <w:rFonts w:hint="eastAsia" w:ascii="Times New Roman" w:hAnsi="Times New Roman" w:eastAsia="仿宋_GB2312" w:cs="Times New Roman"/>
          <w:sz w:val="30"/>
          <w:szCs w:val="30"/>
          <w:highlight w:val="none"/>
          <w:lang w:eastAsia="zh-CN"/>
        </w:rPr>
        <w:t>19,825,000.00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sz w:val="30"/>
          <w:szCs w:val="30"/>
          <w:highlight w:val="none"/>
          <w:lang w:eastAsia="zh-CN"/>
        </w:rPr>
        <w:t>795,000.00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rPr>
        <w:t>：</w:t>
      </w:r>
      <w:r>
        <w:rPr>
          <w:rFonts w:hint="eastAsia" w:ascii="Times New Roman" w:hAnsi="Times New Roman" w:eastAsia="仿宋_GB2312" w:cs="仿宋_GB2312"/>
          <w:sz w:val="30"/>
          <w:szCs w:val="30"/>
          <w:highlight w:val="none"/>
          <w:lang w:eastAsia="zh-CN"/>
        </w:rPr>
        <w:t>人员变动例如退休、调动等造成的支出减少。</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人员经费</w:t>
      </w:r>
      <w:r>
        <w:rPr>
          <w:rFonts w:hint="eastAsia" w:ascii="Times New Roman" w:hAnsi="Times New Roman" w:eastAsia="仿宋_GB2312" w:cs="Times New Roman"/>
          <w:sz w:val="30"/>
          <w:szCs w:val="30"/>
          <w:highlight w:val="none"/>
          <w:lang w:eastAsia="zh-CN"/>
        </w:rPr>
        <w:t>18,840,000.00</w:t>
      </w:r>
      <w:r>
        <w:rPr>
          <w:rFonts w:hint="eastAsia" w:ascii="Times New Roman" w:hAnsi="Times New Roman" w:eastAsia="仿宋_GB2312" w:cs="仿宋_GB2312"/>
          <w:kern w:val="0"/>
          <w:sz w:val="30"/>
          <w:szCs w:val="30"/>
          <w:highlight w:val="none"/>
        </w:rPr>
        <w:t>元，主要包括</w:t>
      </w:r>
      <w:r>
        <w:rPr>
          <w:rFonts w:hint="eastAsia" w:ascii="Times New Roman" w:hAnsi="Times New Roman" w:eastAsia="仿宋_GB2312" w:cs="仿宋_GB2312"/>
          <w:sz w:val="30"/>
          <w:szCs w:val="30"/>
          <w:highlight w:val="none"/>
          <w:lang w:eastAsia="zh-CN"/>
        </w:rPr>
        <w:t>主要包括基本工资、机关事业单位基本养老保险缴费、职业年金缴费、职工基本医疗保险缴费、医疗费、医疗费补助。</w:t>
      </w:r>
    </w:p>
    <w:p>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公用经费</w:t>
      </w:r>
      <w:r>
        <w:rPr>
          <w:rFonts w:hint="eastAsia" w:ascii="Times New Roman" w:hAnsi="Times New Roman" w:eastAsia="仿宋_GB2312" w:cs="Times New Roman"/>
          <w:sz w:val="30"/>
          <w:szCs w:val="30"/>
          <w:highlight w:val="none"/>
          <w:lang w:eastAsia="zh-CN"/>
        </w:rPr>
        <w:t>985,000.00</w:t>
      </w:r>
      <w:r>
        <w:rPr>
          <w:rFonts w:hint="eastAsia" w:ascii="Times New Roman" w:hAnsi="Times New Roman" w:eastAsia="仿宋_GB2312" w:cs="仿宋_GB2312"/>
          <w:kern w:val="0"/>
          <w:sz w:val="30"/>
          <w:szCs w:val="30"/>
          <w:highlight w:val="none"/>
        </w:rPr>
        <w:t>元，主要包括</w:t>
      </w:r>
      <w:r>
        <w:rPr>
          <w:rFonts w:hint="eastAsia" w:ascii="Times New Roman" w:hAnsi="Times New Roman" w:eastAsia="仿宋_GB2312" w:cs="仿宋_GB2312"/>
          <w:sz w:val="30"/>
          <w:szCs w:val="30"/>
          <w:highlight w:val="none"/>
          <w:lang w:eastAsia="zh-CN"/>
        </w:rPr>
        <w:t>主要包括取暖费。</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七、政府性基金预算财政拨款收支决算情况</w:t>
      </w:r>
    </w:p>
    <w:p>
      <w:pPr>
        <w:autoSpaceDE w:val="0"/>
        <w:autoSpaceDN w:val="0"/>
        <w:adjustRightInd w:val="0"/>
        <w:spacing w:line="58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天津市少年儿童活动中心</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年度部门决算政府性基金预算财政拨款</w:t>
      </w:r>
      <w:r>
        <w:rPr>
          <w:rFonts w:hint="eastAsia" w:ascii="Times New Roman" w:hAnsi="Times New Roman" w:eastAsia="仿宋_GB2312" w:cs="仿宋_GB2312"/>
          <w:kern w:val="0"/>
          <w:sz w:val="30"/>
          <w:szCs w:val="30"/>
          <w:highlight w:val="none"/>
        </w:rPr>
        <w:t>年初结转和结余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rPr>
        <w:t>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元，年末结转和结余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年度相比，政府性基金财政拨款支出</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lang w:val="zh-CN"/>
        </w:rPr>
        <w:t>：</w:t>
      </w:r>
    </w:p>
    <w:p>
      <w:pPr>
        <w:autoSpaceDE w:val="0"/>
        <w:autoSpaceDN w:val="0"/>
        <w:adjustRightInd w:val="0"/>
        <w:spacing w:line="600" w:lineRule="exact"/>
        <w:ind w:firstLine="600"/>
        <w:jc w:val="left"/>
        <w:rPr>
          <w:rFonts w:hint="default" w:ascii="Times New Roman" w:hAnsi="Times New Roman" w:eastAsia="楷体" w:cs="楷体"/>
          <w:kern w:val="0"/>
          <w:sz w:val="30"/>
          <w:szCs w:val="30"/>
          <w:highlight w:val="none"/>
          <w:lang w:val="en-US"/>
        </w:rPr>
      </w:pPr>
      <w:r>
        <w:rPr>
          <w:rFonts w:hint="eastAsia" w:ascii="Times New Roman" w:hAnsi="Times New Roman" w:eastAsia="仿宋_GB2312" w:cs="仿宋_GB2312"/>
          <w:sz w:val="30"/>
          <w:szCs w:val="30"/>
          <w:highlight w:val="none"/>
          <w:lang w:eastAsia="zh-CN"/>
        </w:rPr>
        <w:t>天津市少年儿童活动中心2023年度无政府性基金预算财政拨款收入、支出和结转结余。</w:t>
      </w:r>
      <w:r>
        <w:rPr>
          <w:rFonts w:hint="eastAsia" w:ascii="Times New Roman" w:hAnsi="Times New Roman" w:eastAsia="仿宋_GB2312" w:cs="仿宋_GB2312"/>
          <w:sz w:val="30"/>
          <w:szCs w:val="30"/>
          <w:highlight w:val="none"/>
          <w:lang w:val="en-US" w:eastAsia="zh-CN"/>
        </w:rPr>
        <w:tab/>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八、国有资本经营预算财政拨款收支决算情况说明</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天津市少年儿童活动中心</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kern w:val="0"/>
          <w:sz w:val="30"/>
          <w:szCs w:val="30"/>
          <w:highlight w:val="none"/>
        </w:rPr>
        <w:t>年度部门决算国有资本经营预算财政拨款年初结转和结余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元，年末结余和结余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元。与</w:t>
      </w:r>
      <w:r>
        <w:rPr>
          <w:rFonts w:hint="eastAsia" w:ascii="Times New Roman" w:hAnsi="Times New Roman" w:eastAsia="仿宋_GB2312" w:cs="仿宋_GB2312"/>
          <w:kern w:val="0"/>
          <w:sz w:val="30"/>
          <w:szCs w:val="30"/>
          <w:highlight w:val="none"/>
          <w:lang w:eastAsia="zh-CN"/>
        </w:rPr>
        <w:t>2022</w:t>
      </w:r>
      <w:r>
        <w:rPr>
          <w:rFonts w:hint="eastAsia" w:ascii="Times New Roman" w:hAnsi="Times New Roman" w:eastAsia="仿宋_GB2312" w:cs="仿宋_GB2312"/>
          <w:kern w:val="0"/>
          <w:sz w:val="30"/>
          <w:szCs w:val="30"/>
          <w:highlight w:val="none"/>
        </w:rPr>
        <w:t>年度相比，国有资本经营预算财政拨款支出</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lang w:val="zh-CN"/>
        </w:rPr>
        <w:t>：</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天津市少年儿童活动中心2023年度无国有资本经营预算财政拨款收入、支出和结转结余。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九、财政拨款</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三公</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经费</w:t>
      </w:r>
      <w:r>
        <w:rPr>
          <w:rFonts w:hint="eastAsia" w:ascii="Times New Roman" w:hAnsi="Times New Roman" w:eastAsia="黑体" w:cs="黑体"/>
          <w:b/>
          <w:bCs/>
          <w:kern w:val="0"/>
          <w:sz w:val="30"/>
          <w:szCs w:val="30"/>
          <w:highlight w:val="none"/>
          <w:lang w:val="zh-CN"/>
        </w:rPr>
        <w:t>支出决算</w:t>
      </w:r>
      <w:r>
        <w:rPr>
          <w:rFonts w:hint="eastAsia" w:ascii="Times New Roman" w:hAnsi="Times New Roman" w:eastAsia="黑体" w:cs="黑体"/>
          <w:b/>
          <w:bCs/>
          <w:kern w:val="0"/>
          <w:sz w:val="30"/>
          <w:szCs w:val="30"/>
          <w:highlight w:val="none"/>
        </w:rPr>
        <w:t>情况</w:t>
      </w:r>
    </w:p>
    <w:p>
      <w:pPr>
        <w:autoSpaceDE w:val="0"/>
        <w:autoSpaceDN w:val="0"/>
        <w:adjustRightInd w:val="0"/>
        <w:spacing w:line="600" w:lineRule="exact"/>
        <w:ind w:firstLine="602"/>
        <w:jc w:val="left"/>
        <w:rPr>
          <w:rFonts w:hint="default" w:ascii="Times New Roman" w:hAnsi="Times New Roman" w:eastAsia="楷体" w:cs="楷体"/>
          <w:b/>
          <w:bCs/>
          <w:kern w:val="0"/>
          <w:sz w:val="30"/>
          <w:szCs w:val="30"/>
          <w:highlight w:val="none"/>
          <w:lang w:val="en-US" w:eastAsia="zh-CN"/>
        </w:rPr>
      </w:pPr>
      <w:r>
        <w:rPr>
          <w:rFonts w:hint="eastAsia" w:ascii="Times New Roman" w:hAnsi="Times New Roman" w:eastAsia="楷体" w:cs="楷体"/>
          <w:b/>
          <w:bCs/>
          <w:kern w:val="0"/>
          <w:sz w:val="30"/>
          <w:szCs w:val="30"/>
          <w:highlight w:val="none"/>
        </w:rPr>
        <w:t>（一）总体情况</w:t>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p>
    <w:p>
      <w:pPr>
        <w:autoSpaceDE w:val="0"/>
        <w:autoSpaceDN w:val="0"/>
        <w:adjustRightInd w:val="0"/>
        <w:spacing w:line="600" w:lineRule="exact"/>
        <w:ind w:firstLine="602"/>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（二）具体情况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1.</w:t>
      </w:r>
      <w:r>
        <w:rPr>
          <w:rFonts w:hint="eastAsia" w:ascii="Times New Roman" w:hAnsi="Times New Roman" w:eastAsia="仿宋_GB2312" w:cs="仿宋_GB2312"/>
          <w:kern w:val="0"/>
          <w:sz w:val="30"/>
          <w:szCs w:val="30"/>
          <w:highlight w:val="none"/>
        </w:rPr>
        <w:t>因公出国（境）费预算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年本单位组织的出国团组</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个，出国</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公务用车购置及运行维护费预算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lang w:eastAsia="zh-CN"/>
        </w:rPr>
        <w:t>；</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rPr>
        <w:t>其中：</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公务用车运行维护费预算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p>
    <w:p>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截至</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w:t>
      </w:r>
      <w:r>
        <w:rPr>
          <w:rFonts w:ascii="Times New Roman" w:hAnsi="Times New Roman" w:eastAsia="仿宋_GB2312" w:cs="仿宋_GB2312"/>
          <w:kern w:val="0"/>
          <w:sz w:val="30"/>
          <w:szCs w:val="30"/>
          <w:highlight w:val="none"/>
        </w:rPr>
        <w:t>12</w:t>
      </w:r>
      <w:r>
        <w:rPr>
          <w:rFonts w:hint="eastAsia" w:ascii="Times New Roman" w:hAnsi="Times New Roman" w:eastAsia="仿宋_GB2312" w:cs="仿宋_GB2312"/>
          <w:kern w:val="0"/>
          <w:sz w:val="30"/>
          <w:szCs w:val="30"/>
          <w:highlight w:val="none"/>
        </w:rPr>
        <w:t>月</w:t>
      </w:r>
      <w:r>
        <w:rPr>
          <w:rFonts w:ascii="Times New Roman" w:hAnsi="Times New Roman" w:eastAsia="仿宋_GB2312" w:cs="仿宋_GB2312"/>
          <w:kern w:val="0"/>
          <w:sz w:val="30"/>
          <w:szCs w:val="30"/>
          <w:highlight w:val="none"/>
        </w:rPr>
        <w:t>31</w:t>
      </w:r>
      <w:r>
        <w:rPr>
          <w:rFonts w:hint="eastAsia" w:ascii="Times New Roman" w:hAnsi="Times New Roman" w:eastAsia="仿宋_GB2312" w:cs="仿宋_GB2312"/>
          <w:kern w:val="0"/>
          <w:sz w:val="30"/>
          <w:szCs w:val="30"/>
          <w:highlight w:val="none"/>
        </w:rPr>
        <w:t>日，使用财政拨款开支运行维护费的公务用车保有量为</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辆。</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公务用车购置费预算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年购置公务用车</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辆。</w:t>
      </w:r>
    </w:p>
    <w:p>
      <w:pPr>
        <w:autoSpaceDE w:val="0"/>
        <w:autoSpaceDN w:val="0"/>
        <w:adjustRightInd w:val="0"/>
        <w:spacing w:line="600" w:lineRule="exact"/>
        <w:ind w:firstLine="645"/>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公务接待费预算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本年度未用财政拨款经费列支因公出国（境）费/公务用车购置费/公务用车运行维护费/公务接待费。</w:t>
      </w:r>
    </w:p>
    <w:p>
      <w:pPr>
        <w:autoSpaceDE w:val="0"/>
        <w:autoSpaceDN w:val="0"/>
        <w:adjustRightInd w:val="0"/>
        <w:spacing w:line="600" w:lineRule="exact"/>
        <w:ind w:firstLine="645"/>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年本单位国内公务接待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人次；其中，外事接待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十、机关运行经费支出情况说明</w:t>
      </w:r>
    </w:p>
    <w:p>
      <w:pPr>
        <w:autoSpaceDE w:val="0"/>
        <w:autoSpaceDN w:val="0"/>
        <w:adjustRightInd w:val="0"/>
        <w:spacing w:line="58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机关运行经费是指行政单位和参照公务员法管理的事业单位使用一般公共预算财政拨款安排的基本支出中的日常公用经费支出，</w:t>
      </w:r>
      <w:r>
        <w:rPr>
          <w:rFonts w:hint="eastAsia" w:ascii="Times New Roman" w:hAnsi="Times New Roman" w:eastAsia="仿宋_GB2312" w:cs="Times New Roman"/>
          <w:kern w:val="0"/>
          <w:sz w:val="30"/>
          <w:szCs w:val="30"/>
          <w:highlight w:val="none"/>
          <w:lang w:eastAsia="zh-CN"/>
        </w:rPr>
        <w:t>天津市少年儿童活动中心</w:t>
      </w:r>
      <w:r>
        <w:rPr>
          <w:rFonts w:hint="eastAsia" w:ascii="Times New Roman" w:hAnsi="Times New Roman" w:eastAsia="宋体" w:cs="宋体"/>
          <w:kern w:val="0"/>
          <w:sz w:val="30"/>
          <w:szCs w:val="30"/>
          <w:highlight w:val="none"/>
          <w:lang w:eastAsia="zh-CN"/>
        </w:rPr>
        <w:t>2023</w:t>
      </w:r>
      <w:r>
        <w:rPr>
          <w:rFonts w:hint="eastAsia" w:ascii="Times New Roman" w:hAnsi="Times New Roman" w:eastAsia="仿宋_GB2312" w:cs="仿宋_GB2312"/>
          <w:kern w:val="0"/>
          <w:sz w:val="30"/>
          <w:szCs w:val="30"/>
          <w:highlight w:val="none"/>
        </w:rPr>
        <w:t>年度机关运行经费决算数</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元，比</w:t>
      </w:r>
      <w:r>
        <w:rPr>
          <w:rFonts w:hint="eastAsia" w:ascii="Times New Roman" w:hAnsi="Times New Roman" w:eastAsia="仿宋_GB2312" w:cs="Times New Roman"/>
          <w:kern w:val="0"/>
          <w:sz w:val="30"/>
          <w:szCs w:val="30"/>
          <w:highlight w:val="none"/>
          <w:lang w:eastAsia="zh-CN"/>
        </w:rPr>
        <w:t>2022</w:t>
      </w:r>
      <w:r>
        <w:rPr>
          <w:rFonts w:hint="eastAsia" w:ascii="Times New Roman" w:hAnsi="Times New Roman" w:eastAsia="仿宋_GB2312" w:cs="仿宋_GB2312"/>
          <w:kern w:val="0"/>
          <w:sz w:val="30"/>
          <w:szCs w:val="30"/>
          <w:highlight w:val="none"/>
        </w:rPr>
        <w:t>年</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kern w:val="0"/>
          <w:sz w:val="30"/>
          <w:szCs w:val="30"/>
          <w:highlight w:val="none"/>
          <w:lang w:eastAsia="zh-CN"/>
        </w:rPr>
        <w:t>%</w:t>
      </w:r>
      <w:r>
        <w:rPr>
          <w:rFonts w:hint="eastAsia" w:ascii="Times New Roman" w:hAnsi="Times New Roman" w:eastAsia="仿宋_GB2312" w:cs="仿宋_GB2312"/>
          <w:kern w:val="0"/>
          <w:sz w:val="30"/>
          <w:szCs w:val="30"/>
          <w:highlight w:val="none"/>
        </w:rPr>
        <w:t>。主要原因是：</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天津市少年儿童活动中心2023年度无机关运行经费。</w:t>
      </w:r>
    </w:p>
    <w:p>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十一、政府采购支出情况说明</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天津市少年儿童活动中心</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color w:val="000000"/>
          <w:kern w:val="0"/>
          <w:sz w:val="30"/>
          <w:szCs w:val="30"/>
          <w:highlight w:val="none"/>
        </w:rPr>
        <w:t>年</w:t>
      </w:r>
      <w:r>
        <w:rPr>
          <w:rFonts w:hint="eastAsia" w:ascii="Times New Roman" w:hAnsi="Times New Roman" w:eastAsia="仿宋_GB2312" w:cs="仿宋_GB2312"/>
          <w:sz w:val="30"/>
          <w:szCs w:val="30"/>
          <w:highlight w:val="none"/>
        </w:rPr>
        <w:t>政府</w:t>
      </w:r>
      <w:r>
        <w:rPr>
          <w:rFonts w:hint="eastAsia" w:ascii="Times New Roman" w:hAnsi="Times New Roman" w:eastAsia="仿宋_GB2312" w:cs="仿宋_GB2312"/>
          <w:color w:val="000000"/>
          <w:kern w:val="0"/>
          <w:sz w:val="30"/>
          <w:szCs w:val="30"/>
          <w:highlight w:val="none"/>
        </w:rPr>
        <w:t>采购支出总额</w:t>
      </w:r>
      <w:r>
        <w:rPr>
          <w:rFonts w:hint="eastAsia" w:ascii="Times New Roman" w:hAnsi="Times New Roman" w:eastAsia="仿宋_GB2312" w:cs="Times New Roman"/>
          <w:kern w:val="0"/>
          <w:sz w:val="30"/>
          <w:szCs w:val="30"/>
          <w:highlight w:val="none"/>
          <w:lang w:eastAsia="zh-CN"/>
        </w:rPr>
        <w:t>3,562,761.42</w:t>
      </w:r>
      <w:r>
        <w:rPr>
          <w:rFonts w:hint="eastAsia" w:ascii="Times New Roman" w:hAnsi="Times New Roman" w:eastAsia="仿宋_GB2312" w:cs="仿宋_GB2312"/>
          <w:color w:val="000000"/>
          <w:kern w:val="0"/>
          <w:sz w:val="30"/>
          <w:szCs w:val="30"/>
          <w:highlight w:val="none"/>
        </w:rPr>
        <w:t>元，其中：政府采购货物支出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元、政府采购工程支出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元、政府采购服务支出</w:t>
      </w:r>
      <w:r>
        <w:rPr>
          <w:rFonts w:hint="eastAsia" w:ascii="Times New Roman" w:hAnsi="Times New Roman" w:eastAsia="仿宋_GB2312" w:cs="Times New Roman"/>
          <w:kern w:val="0"/>
          <w:sz w:val="30"/>
          <w:szCs w:val="30"/>
          <w:highlight w:val="none"/>
          <w:lang w:eastAsia="zh-CN"/>
        </w:rPr>
        <w:t>3,562,761.42</w:t>
      </w:r>
      <w:r>
        <w:rPr>
          <w:rFonts w:hint="eastAsia" w:ascii="Times New Roman" w:hAnsi="Times New Roman" w:eastAsia="仿宋_GB2312" w:cs="仿宋_GB2312"/>
          <w:color w:val="000000"/>
          <w:kern w:val="0"/>
          <w:sz w:val="30"/>
          <w:szCs w:val="30"/>
          <w:highlight w:val="none"/>
        </w:rPr>
        <w:t>元。授予中小企业合同金额</w:t>
      </w:r>
      <w:r>
        <w:rPr>
          <w:rFonts w:hint="eastAsia" w:ascii="Times New Roman" w:hAnsi="Times New Roman" w:eastAsia="仿宋_GB2312" w:cs="Times New Roman"/>
          <w:kern w:val="0"/>
          <w:sz w:val="30"/>
          <w:szCs w:val="30"/>
          <w:highlight w:val="none"/>
          <w:lang w:eastAsia="zh-CN"/>
        </w:rPr>
        <w:t>3,562,761.42</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100.0%</w:t>
      </w:r>
      <w:r>
        <w:rPr>
          <w:rFonts w:hint="eastAsia" w:ascii="Times New Roman" w:hAnsi="Times New Roman" w:eastAsia="仿宋_GB2312" w:cs="仿宋_GB2312"/>
          <w:color w:val="000000"/>
          <w:kern w:val="0"/>
          <w:sz w:val="30"/>
          <w:szCs w:val="30"/>
          <w:highlight w:val="none"/>
        </w:rPr>
        <w:t>，其中：授予小微企业合同金额</w:t>
      </w:r>
      <w:r>
        <w:rPr>
          <w:rFonts w:hint="eastAsia" w:ascii="Times New Roman" w:hAnsi="Times New Roman" w:eastAsia="仿宋_GB2312" w:cs="Times New Roman"/>
          <w:kern w:val="0"/>
          <w:sz w:val="30"/>
          <w:szCs w:val="30"/>
          <w:highlight w:val="none"/>
          <w:lang w:eastAsia="zh-CN"/>
        </w:rPr>
        <w:t>3,562,761.42</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100.0%</w:t>
      </w:r>
      <w:r>
        <w:rPr>
          <w:rFonts w:hint="eastAsia" w:ascii="Times New Roman" w:hAnsi="Times New Roman" w:eastAsia="仿宋_GB2312" w:cs="仿宋_GB2312"/>
          <w:color w:val="000000"/>
          <w:kern w:val="0"/>
          <w:sz w:val="30"/>
          <w:szCs w:val="30"/>
          <w:highlight w:val="none"/>
        </w:rPr>
        <w:t>；</w:t>
      </w:r>
      <w:r>
        <w:rPr>
          <w:rFonts w:hint="eastAsia" w:ascii="Times New Roman" w:hAnsi="Times New Roman" w:eastAsia="仿宋_GB2312" w:cs="仿宋_GB2312"/>
          <w:kern w:val="0"/>
          <w:sz w:val="30"/>
          <w:szCs w:val="30"/>
          <w:highlight w:val="none"/>
        </w:rPr>
        <w:t>货物采购授予中小企业合同金额占货物支出金额的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，工程采购授予中小企业合同金额占工程支出金额的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，服务采购授予中小企业合同金额占服务支出金额的</w:t>
      </w:r>
      <w:r>
        <w:rPr>
          <w:rFonts w:hint="eastAsia" w:ascii="Times New Roman" w:hAnsi="Times New Roman" w:eastAsia="仿宋_GB2312" w:cs="仿宋_GB2312"/>
          <w:sz w:val="30"/>
          <w:szCs w:val="30"/>
          <w:highlight w:val="none"/>
          <w:lang w:eastAsia="zh-CN"/>
        </w:rPr>
        <w:t>100.0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w:t>
      </w:r>
    </w:p>
    <w:p>
      <w:pPr>
        <w:autoSpaceDE w:val="0"/>
        <w:autoSpaceDN w:val="0"/>
        <w:adjustRightInd w:val="0"/>
        <w:spacing w:line="600" w:lineRule="exact"/>
        <w:ind w:firstLine="600"/>
        <w:jc w:val="left"/>
        <w:rPr>
          <w:rFonts w:ascii="Times New Roman" w:hAnsi="Times New Roman" w:eastAsia="楷体" w:cs="Times New Roman"/>
          <w:kern w:val="0"/>
          <w:sz w:val="30"/>
          <w:szCs w:val="30"/>
          <w:highlight w:val="none"/>
        </w:rPr>
      </w:pP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十二、</w:t>
      </w:r>
      <w:r>
        <w:rPr>
          <w:rFonts w:hint="eastAsia" w:ascii="Times New Roman" w:hAnsi="Times New Roman" w:eastAsia="黑体" w:cs="黑体"/>
          <w:b/>
          <w:bCs/>
          <w:kern w:val="0"/>
          <w:sz w:val="30"/>
          <w:szCs w:val="30"/>
          <w:highlight w:val="none"/>
        </w:rPr>
        <w:t>国有资产占有使用情况说明</w:t>
      </w:r>
    </w:p>
    <w:p>
      <w:pPr>
        <w:autoSpaceDE w:val="0"/>
        <w:autoSpaceDN w:val="0"/>
        <w:adjustRightInd w:val="0"/>
        <w:spacing w:line="600" w:lineRule="exact"/>
        <w:ind w:firstLine="720"/>
        <w:jc w:val="left"/>
        <w:rPr>
          <w:rFonts w:ascii="Times New Roman" w:hAnsi="Times New Roman" w:eastAsia="仿宋_GB2312" w:cs="Times New Roman"/>
          <w:color w:val="000000"/>
          <w:kern w:val="0"/>
          <w:sz w:val="30"/>
          <w:szCs w:val="30"/>
          <w:highlight w:val="none"/>
        </w:rPr>
      </w:pPr>
      <w:r>
        <w:rPr>
          <w:rFonts w:hint="eastAsia" w:ascii="Times New Roman" w:hAnsi="Times New Roman" w:eastAsia="仿宋_GB2312" w:cs="仿宋_GB2312"/>
          <w:color w:val="000000"/>
          <w:kern w:val="0"/>
          <w:sz w:val="30"/>
          <w:szCs w:val="30"/>
          <w:highlight w:val="none"/>
        </w:rPr>
        <w:t>截至</w:t>
      </w:r>
      <w:r>
        <w:rPr>
          <w:rFonts w:ascii="Times New Roman" w:hAnsi="Times New Roman" w:eastAsia="宋体" w:cs="宋体"/>
          <w:color w:val="000000"/>
          <w:kern w:val="0"/>
          <w:sz w:val="30"/>
          <w:szCs w:val="30"/>
          <w:highlight w:val="none"/>
        </w:rPr>
        <w:t>202</w:t>
      </w:r>
      <w:r>
        <w:rPr>
          <w:rFonts w:hint="eastAsia" w:ascii="Times New Roman" w:hAnsi="Times New Roman" w:eastAsia="宋体" w:cs="宋体"/>
          <w:color w:val="000000"/>
          <w:kern w:val="0"/>
          <w:sz w:val="30"/>
          <w:szCs w:val="30"/>
          <w:highlight w:val="none"/>
          <w:lang w:val="en-US" w:eastAsia="zh-CN"/>
        </w:rPr>
        <w:t>3</w:t>
      </w:r>
      <w:r>
        <w:rPr>
          <w:rFonts w:hint="eastAsia" w:ascii="Times New Roman" w:hAnsi="Times New Roman" w:eastAsia="仿宋_GB2312" w:cs="仿宋_GB2312"/>
          <w:color w:val="000000"/>
          <w:kern w:val="0"/>
          <w:sz w:val="30"/>
          <w:szCs w:val="30"/>
          <w:highlight w:val="none"/>
        </w:rPr>
        <w:t>年</w:t>
      </w:r>
      <w:r>
        <w:rPr>
          <w:rFonts w:ascii="Times New Roman" w:hAnsi="Times New Roman" w:eastAsia="仿宋_GB2312" w:cs="Times New Roman"/>
          <w:color w:val="000000"/>
          <w:kern w:val="0"/>
          <w:sz w:val="30"/>
          <w:szCs w:val="30"/>
          <w:highlight w:val="none"/>
        </w:rPr>
        <w:t>12</w:t>
      </w:r>
      <w:r>
        <w:rPr>
          <w:rFonts w:hint="eastAsia" w:ascii="Times New Roman" w:hAnsi="Times New Roman" w:eastAsia="仿宋_GB2312" w:cs="仿宋_GB2312"/>
          <w:color w:val="000000"/>
          <w:kern w:val="0"/>
          <w:sz w:val="30"/>
          <w:szCs w:val="30"/>
          <w:highlight w:val="none"/>
        </w:rPr>
        <w:t>月</w:t>
      </w:r>
      <w:r>
        <w:rPr>
          <w:rFonts w:ascii="Times New Roman" w:hAnsi="Times New Roman" w:eastAsia="仿宋_GB2312" w:cs="Times New Roman"/>
          <w:color w:val="000000"/>
          <w:kern w:val="0"/>
          <w:sz w:val="30"/>
          <w:szCs w:val="30"/>
          <w:highlight w:val="none"/>
        </w:rPr>
        <w:t>31</w:t>
      </w:r>
      <w:r>
        <w:rPr>
          <w:rFonts w:hint="eastAsia" w:ascii="Times New Roman" w:hAnsi="Times New Roman" w:eastAsia="仿宋_GB2312" w:cs="仿宋_GB2312"/>
          <w:color w:val="000000"/>
          <w:kern w:val="0"/>
          <w:sz w:val="30"/>
          <w:szCs w:val="30"/>
          <w:highlight w:val="none"/>
        </w:rPr>
        <w:t>日，</w:t>
      </w:r>
      <w:r>
        <w:rPr>
          <w:rFonts w:hint="eastAsia" w:ascii="Times New Roman" w:hAnsi="Times New Roman" w:eastAsia="仿宋_GB2312" w:cs="仿宋_GB2312"/>
          <w:color w:val="000000"/>
          <w:kern w:val="0"/>
          <w:sz w:val="30"/>
          <w:szCs w:val="30"/>
          <w:highlight w:val="none"/>
          <w:lang w:eastAsia="zh-CN"/>
        </w:rPr>
        <w:t>天津市少年儿童活动中心</w:t>
      </w:r>
      <w:r>
        <w:rPr>
          <w:rFonts w:hint="eastAsia" w:ascii="Times New Roman" w:hAnsi="Times New Roman" w:eastAsia="仿宋_GB2312" w:cs="仿宋_GB2312"/>
          <w:color w:val="000000"/>
          <w:kern w:val="0"/>
          <w:sz w:val="30"/>
          <w:szCs w:val="30"/>
          <w:highlight w:val="none"/>
        </w:rPr>
        <w:t>共有车辆</w:t>
      </w:r>
      <w:r>
        <w:rPr>
          <w:rFonts w:hint="eastAsia" w:ascii="Times New Roman" w:hAnsi="Times New Roman" w:eastAsia="仿宋_GB2312" w:cs="Times New Roman"/>
          <w:kern w:val="0"/>
          <w:sz w:val="30"/>
          <w:szCs w:val="30"/>
          <w:highlight w:val="none"/>
          <w:lang w:eastAsia="zh-CN"/>
        </w:rPr>
        <w:t>8</w:t>
      </w:r>
      <w:r>
        <w:rPr>
          <w:rFonts w:hint="eastAsia" w:ascii="Times New Roman" w:hAnsi="Times New Roman" w:eastAsia="仿宋_GB2312" w:cs="仿宋_GB2312"/>
          <w:color w:val="000000"/>
          <w:kern w:val="0"/>
          <w:sz w:val="30"/>
          <w:szCs w:val="30"/>
          <w:highlight w:val="none"/>
        </w:rPr>
        <w:t>辆，其中：</w:t>
      </w:r>
      <w:r>
        <w:rPr>
          <w:rFonts w:ascii="Times New Roman" w:hAnsi="Times New Roman" w:eastAsia="仿宋_GB2312" w:cs="Times New Roman"/>
          <w:kern w:val="0"/>
          <w:sz w:val="30"/>
          <w:szCs w:val="30"/>
          <w:highlight w:val="none"/>
        </w:rPr>
        <w:t>副部（省）级及以上领导用车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主要</w:t>
      </w:r>
      <w:r>
        <w:rPr>
          <w:rFonts w:hint="eastAsia" w:ascii="Times New Roman" w:hAnsi="Times New Roman" w:eastAsia="仿宋_GB2312" w:cs="Times New Roman"/>
          <w:kern w:val="0"/>
          <w:sz w:val="30"/>
          <w:szCs w:val="30"/>
          <w:highlight w:val="none"/>
          <w:lang w:val="en-US" w:eastAsia="zh-CN"/>
        </w:rPr>
        <w:t>负责人</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机要通信用车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应急保障用车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执法执勤用车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特种专业技术用车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离退休干部</w:t>
      </w:r>
      <w:r>
        <w:rPr>
          <w:rFonts w:hint="eastAsia" w:ascii="Times New Roman" w:hAnsi="Times New Roman" w:eastAsia="仿宋_GB2312" w:cs="Times New Roman"/>
          <w:kern w:val="0"/>
          <w:sz w:val="30"/>
          <w:szCs w:val="30"/>
          <w:highlight w:val="none"/>
          <w:lang w:val="en-US" w:eastAsia="zh-CN"/>
        </w:rPr>
        <w:t>服务</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其他用车</w:t>
      </w:r>
      <w:r>
        <w:rPr>
          <w:rFonts w:hint="eastAsia" w:ascii="Times New Roman" w:hAnsi="Times New Roman" w:eastAsia="仿宋_GB2312" w:cs="Times New Roman"/>
          <w:kern w:val="0"/>
          <w:sz w:val="30"/>
          <w:szCs w:val="30"/>
          <w:highlight w:val="none"/>
          <w:lang w:eastAsia="zh-CN"/>
        </w:rPr>
        <w:t>8</w:t>
      </w:r>
      <w:r>
        <w:rPr>
          <w:rFonts w:ascii="Times New Roman" w:hAnsi="Times New Roman" w:eastAsia="仿宋_GB2312" w:cs="Times New Roman"/>
          <w:kern w:val="0"/>
          <w:sz w:val="30"/>
          <w:szCs w:val="30"/>
          <w:highlight w:val="none"/>
        </w:rPr>
        <w:t>辆</w:t>
      </w:r>
      <w:r>
        <w:rPr>
          <w:rFonts w:hint="eastAsia" w:ascii="Times New Roman" w:hAnsi="Times New Roman" w:eastAsia="仿宋_GB2312" w:cs="Times New Roman"/>
          <w:kern w:val="0"/>
          <w:sz w:val="30"/>
          <w:szCs w:val="30"/>
          <w:highlight w:val="none"/>
        </w:rPr>
        <w:t>，其他用车主要包括</w:t>
      </w:r>
      <w:r>
        <w:rPr>
          <w:rFonts w:hint="eastAsia" w:ascii="Times New Roman" w:hAnsi="Times New Roman" w:eastAsia="仿宋_GB2312" w:cs="仿宋_GB2312"/>
          <w:sz w:val="30"/>
          <w:szCs w:val="30"/>
          <w:highlight w:val="none"/>
          <w:lang w:eastAsia="zh-CN"/>
        </w:rPr>
        <w:t>其他用车主要包括轿车、客车。</w:t>
      </w:r>
      <w:r>
        <w:rPr>
          <w:rFonts w:hint="eastAsia" w:ascii="Times New Roman" w:hAnsi="Times New Roman" w:eastAsia="仿宋_GB2312" w:cs="仿宋_GB2312"/>
          <w:kern w:val="0"/>
          <w:sz w:val="30"/>
          <w:szCs w:val="30"/>
          <w:highlight w:val="none"/>
          <w:lang w:val="zh-CN"/>
        </w:rPr>
        <w:t>。</w:t>
      </w:r>
      <w:r>
        <w:rPr>
          <w:rFonts w:hint="eastAsia" w:ascii="Times New Roman" w:hAnsi="Times New Roman" w:eastAsia="仿宋_GB2312" w:cs="仿宋_GB2312"/>
          <w:kern w:val="0"/>
          <w:sz w:val="30"/>
          <w:szCs w:val="30"/>
          <w:highlight w:val="none"/>
        </w:rPr>
        <w:t>单价</w:t>
      </w:r>
      <w:r>
        <w:rPr>
          <w:rFonts w:ascii="Times New Roman" w:hAnsi="Times New Roman" w:eastAsia="仿宋_GB2312" w:cs="仿宋_GB2312"/>
          <w:kern w:val="0"/>
          <w:sz w:val="30"/>
          <w:szCs w:val="30"/>
          <w:highlight w:val="none"/>
        </w:rPr>
        <w:t>100</w:t>
      </w:r>
      <w:r>
        <w:rPr>
          <w:rFonts w:hint="eastAsia" w:ascii="Times New Roman" w:hAnsi="Times New Roman" w:eastAsia="仿宋_GB2312" w:cs="仿宋_GB2312"/>
          <w:kern w:val="0"/>
          <w:sz w:val="30"/>
          <w:szCs w:val="30"/>
          <w:highlight w:val="none"/>
        </w:rPr>
        <w:t>万元以上的设备</w:t>
      </w:r>
      <w:r>
        <w:rPr>
          <w:rFonts w:hint="eastAsia" w:ascii="Times New Roman" w:hAnsi="Times New Roman" w:eastAsia="仿宋_GB2312" w:cs="Times New Roman"/>
          <w:kern w:val="0"/>
          <w:sz w:val="30"/>
          <w:szCs w:val="30"/>
          <w:highlight w:val="none"/>
          <w:lang w:eastAsia="zh-CN"/>
        </w:rPr>
        <w:t>12</w:t>
      </w:r>
      <w:r>
        <w:rPr>
          <w:rFonts w:hint="eastAsia" w:ascii="Times New Roman" w:hAnsi="Times New Roman" w:eastAsia="仿宋_GB2312" w:cs="仿宋_GB2312"/>
          <w:kern w:val="0"/>
          <w:sz w:val="30"/>
          <w:szCs w:val="30"/>
          <w:highlight w:val="none"/>
        </w:rPr>
        <w:t>台（套）。</w:t>
      </w:r>
    </w:p>
    <w:p>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为舞台设备、游乐场设备以及文艺设备等。</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十三、</w:t>
      </w:r>
      <w:r>
        <w:rPr>
          <w:rFonts w:hint="eastAsia" w:ascii="Times New Roman" w:hAnsi="Times New Roman" w:eastAsia="黑体" w:cs="黑体"/>
          <w:b/>
          <w:bCs/>
          <w:kern w:val="0"/>
          <w:sz w:val="30"/>
          <w:szCs w:val="30"/>
          <w:highlight w:val="none"/>
        </w:rPr>
        <w:t>预算绩效情况说明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根据预算绩效管理要求，天津市少年儿童活动中心2023年度已对4个市级项目开展绩效自评，涉及金额970,000.00元，自评结果已随部门决算一并公开。</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十四、</w:t>
      </w:r>
      <w:r>
        <w:rPr>
          <w:rFonts w:hint="eastAsia" w:ascii="Times New Roman" w:hAnsi="Times New Roman" w:eastAsia="黑体" w:cs="黑体"/>
          <w:b/>
          <w:bCs/>
          <w:kern w:val="0"/>
          <w:sz w:val="30"/>
          <w:szCs w:val="30"/>
          <w:highlight w:val="none"/>
        </w:rPr>
        <w:t>教育、医疗卫生、社会保障和就业、住房保障、涉农补贴等民生支出情况说明</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天津市少年儿童活动中心不属于乡、镇、街级单位，不涉及公开2023年度教育、医疗卫生、社会保障和就业、住房保障、涉农补贴等民生支出情况。</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天津市少年儿童活动中心不属于乡、镇、街级单位，不涉及公开2023年度教育、医疗卫生、社会保障和就业、住房保障、涉农补贴等民生支出情况。</w:t>
      </w:r>
    </w:p>
    <w:p>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第四部分名词解释</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val="en-US" w:eastAsia="zh-CN"/>
        </w:rPr>
        <w:t>1</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B7D0E7D"/>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customStyle="1" w:styleId="9">
    <w:name w:val="标题 1 字符"/>
    <w:basedOn w:val="8"/>
    <w:link w:val="2"/>
    <w:qFormat/>
    <w:uiPriority w:val="99"/>
    <w:rPr>
      <w:rFonts w:ascii="方正小标宋简体" w:eastAsia="方正小标宋简体"/>
      <w:kern w:val="0"/>
      <w:sz w:val="24"/>
      <w:szCs w:val="24"/>
    </w:rPr>
  </w:style>
  <w:style w:type="character" w:customStyle="1" w:styleId="10">
    <w:name w:val="标题 2 字符"/>
    <w:basedOn w:val="8"/>
    <w:link w:val="3"/>
    <w:qFormat/>
    <w:uiPriority w:val="99"/>
    <w:rPr>
      <w:rFonts w:ascii="方正小标宋简体" w:eastAsia="方正小标宋简体"/>
      <w:kern w:val="0"/>
      <w:sz w:val="24"/>
      <w:szCs w:val="24"/>
    </w:r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3220</Words>
  <Characters>5638</Characters>
  <Lines>82</Lines>
  <Paragraphs>23</Paragraphs>
  <TotalTime>0</TotalTime>
  <ScaleCrop>false</ScaleCrop>
  <LinksUpToDate>false</LinksUpToDate>
  <CharactersWithSpaces>5662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2023-08-11T08:11:00Z</dcterms:created>
  <dc:creator>office</dc:creator>
  <cp:lastModifiedBy>Administrator</cp:lastModifiedBy>
  <dcterms:modified xsi:type="dcterms:W3CDTF">2024-08-20T08:07:26Z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7FFC601422084A84B5B7CFE6F56BE27B</vt:lpwstr>
  </property>
</Properties>
</file>