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jc w:val="center"/>
        <w:rPr>
          <w:rFonts w:hint="eastAsia" w:ascii="Times New Roman" w:hAnsi="Times New Roman" w:eastAsia="方正小标宋简体" w:cs="方正小标宋简体"/>
          <w:kern w:val="0"/>
          <w:sz w:val="48"/>
          <w:szCs w:val="48"/>
          <w:highlight w:val="none"/>
          <w:lang w:val="zh-CN"/>
        </w:rPr>
      </w:pPr>
    </w:p>
    <w:p>
      <w:pPr>
        <w:autoSpaceDE w:val="0"/>
        <w:autoSpaceDN w:val="0"/>
        <w:adjustRightInd w:val="0"/>
        <w:jc w:val="center"/>
        <w:rPr>
          <w:rFonts w:hint="eastAsia" w:ascii="Times New Roman" w:hAnsi="Times New Roman" w:eastAsia="方正小标宋简体" w:cs="方正小标宋简体"/>
          <w:kern w:val="0"/>
          <w:sz w:val="48"/>
          <w:szCs w:val="48"/>
          <w:highlight w:val="none"/>
          <w:lang w:val="zh-CN"/>
        </w:rPr>
      </w:pPr>
    </w:p>
    <w:p>
      <w:pPr>
        <w:autoSpaceDE w:val="0"/>
        <w:autoSpaceDN w:val="0"/>
        <w:adjustRightInd w:val="0"/>
        <w:jc w:val="center"/>
        <w:rPr>
          <w:rFonts w:hint="eastAsia" w:ascii="Times New Roman" w:hAnsi="Times New Roman" w:eastAsia="方正小标宋简体" w:cs="方正小标宋简体"/>
          <w:kern w:val="0"/>
          <w:sz w:val="48"/>
          <w:szCs w:val="48"/>
          <w:highlight w:val="none"/>
          <w:lang w:val="zh-CN"/>
        </w:rPr>
      </w:pPr>
    </w:p>
    <w:p>
      <w:pPr>
        <w:autoSpaceDE w:val="0"/>
        <w:autoSpaceDN w:val="0"/>
        <w:adjustRightInd w:val="0"/>
        <w:jc w:val="center"/>
        <w:rPr>
          <w:rFonts w:hint="eastAsia" w:ascii="Times New Roman" w:hAnsi="Times New Roman" w:eastAsia="方正小标宋简体" w:cs="方正小标宋简体"/>
          <w:kern w:val="0"/>
          <w:sz w:val="48"/>
          <w:szCs w:val="48"/>
          <w:highlight w:val="none"/>
          <w:lang w:val="zh-CN"/>
        </w:rPr>
      </w:pPr>
    </w:p>
    <w:p>
      <w:pPr>
        <w:autoSpaceDE w:val="0"/>
        <w:autoSpaceDN w:val="0"/>
        <w:adjustRightInd w:val="0"/>
        <w:jc w:val="center"/>
        <w:rPr>
          <w:rFonts w:hint="eastAsia" w:ascii="Times New Roman" w:hAnsi="Times New Roman" w:eastAsia="方正小标宋简体" w:cs="方正小标宋简体"/>
          <w:kern w:val="0"/>
          <w:sz w:val="48"/>
          <w:szCs w:val="48"/>
          <w:highlight w:val="none"/>
          <w:lang w:val="zh-CN"/>
        </w:rPr>
      </w:pPr>
    </w:p>
    <w:p>
      <w:pPr>
        <w:autoSpaceDE w:val="0"/>
        <w:autoSpaceDN w:val="0"/>
        <w:adjustRightInd w:val="0"/>
        <w:jc w:val="center"/>
        <w:rPr>
          <w:rFonts w:hint="eastAsia" w:ascii="Times New Roman" w:hAnsi="Times New Roman" w:eastAsia="方正小标宋简体" w:cs="方正小标宋简体"/>
          <w:kern w:val="0"/>
          <w:sz w:val="48"/>
          <w:szCs w:val="48"/>
          <w:highlight w:val="none"/>
          <w:lang w:val="zh-CN"/>
        </w:rPr>
      </w:pPr>
    </w:p>
    <w:p>
      <w:pPr>
        <w:autoSpaceDE w:val="0"/>
        <w:autoSpaceDN w:val="0"/>
        <w:adjustRightInd w:val="0"/>
        <w:jc w:val="center"/>
        <w:rPr>
          <w:rFonts w:hint="eastAsia" w:ascii="Times New Roman" w:hAnsi="Times New Roman" w:eastAsia="方正小标宋简体" w:cs="方正小标宋简体"/>
          <w:kern w:val="0"/>
          <w:sz w:val="48"/>
          <w:szCs w:val="48"/>
          <w:highlight w:val="none"/>
          <w:lang w:val="zh-CN"/>
        </w:rPr>
      </w:pPr>
    </w:p>
    <w:p>
      <w:pPr>
        <w:autoSpaceDE w:val="0"/>
        <w:autoSpaceDN w:val="0"/>
        <w:adjustRightInd w:val="0"/>
        <w:jc w:val="center"/>
        <w:rPr>
          <w:rFonts w:hint="eastAsia" w:ascii="Times New Roman" w:hAnsi="Times New Roman" w:eastAsia="方正小标宋简体" w:cs="方正小标宋简体"/>
          <w:kern w:val="0"/>
          <w:sz w:val="48"/>
          <w:szCs w:val="48"/>
          <w:highlight w:val="none"/>
          <w:lang w:val="zh-CN"/>
        </w:rPr>
      </w:pPr>
    </w:p>
    <w:p>
      <w:pPr>
        <w:autoSpaceDE w:val="0"/>
        <w:autoSpaceDN w:val="0"/>
        <w:adjustRightInd w:val="0"/>
        <w:jc w:val="center"/>
        <w:rPr>
          <w:rFonts w:hint="eastAsia" w:ascii="Times New Roman" w:hAnsi="Times New Roman" w:eastAsia="方正小标宋简体" w:cs="方正小标宋简体"/>
          <w:kern w:val="0"/>
          <w:sz w:val="48"/>
          <w:szCs w:val="48"/>
          <w:highlight w:val="none"/>
          <w:lang w:val="zh-CN"/>
        </w:rPr>
      </w:pPr>
      <w:r>
        <w:rPr>
          <w:rFonts w:hint="eastAsia" w:ascii="Times New Roman" w:hAnsi="Times New Roman" w:eastAsia="方正小标宋简体" w:cs="方正小标宋简体"/>
          <w:kern w:val="0"/>
          <w:sz w:val="48"/>
          <w:szCs w:val="48"/>
          <w:highlight w:val="none"/>
          <w:lang w:val="zh-CN"/>
        </w:rPr>
        <w:t>共青团天津市委员会综合服务中心</w:t>
      </w:r>
    </w:p>
    <w:p>
      <w:pPr>
        <w:autoSpaceDE w:val="0"/>
        <w:autoSpaceDN w:val="0"/>
        <w:adjustRightInd w:val="0"/>
        <w:jc w:val="center"/>
        <w:rPr>
          <w:rFonts w:ascii="Times New Roman" w:hAnsi="Times New Roman" w:eastAsia="方正小标宋简体" w:cs="方正小标宋简体"/>
          <w:kern w:val="0"/>
          <w:sz w:val="48"/>
          <w:szCs w:val="48"/>
          <w:highlight w:val="none"/>
          <w:lang w:val="zh-CN"/>
        </w:rPr>
      </w:pPr>
      <w:r>
        <w:rPr>
          <w:rFonts w:hint="eastAsia" w:ascii="Times New Roman" w:hAnsi="Times New Roman" w:eastAsia="方正小标宋简体" w:cs="方正小标宋简体"/>
          <w:kern w:val="0"/>
          <w:sz w:val="48"/>
          <w:szCs w:val="48"/>
          <w:highlight w:val="none"/>
          <w:lang w:val="zh-CN"/>
        </w:rPr>
        <w:t>2023年度部门决算</w:t>
      </w:r>
    </w:p>
    <w:p>
      <w:pPr>
        <w:autoSpaceDE w:val="0"/>
        <w:autoSpaceDN w:val="0"/>
        <w:adjustRightInd w:val="0"/>
        <w:spacing w:line="580" w:lineRule="exact"/>
        <w:jc w:val="center"/>
        <w:rPr>
          <w:rFonts w:ascii="Times New Roman" w:hAnsi="Times New Roman" w:eastAsia="黑体" w:cs="黑体"/>
          <w:sz w:val="30"/>
          <w:szCs w:val="30"/>
          <w:highlight w:val="none"/>
        </w:rPr>
      </w:pPr>
    </w:p>
    <w:p>
      <w:pPr>
        <w:autoSpaceDE w:val="0"/>
        <w:autoSpaceDN w:val="0"/>
        <w:adjustRightInd w:val="0"/>
        <w:spacing w:line="580" w:lineRule="exact"/>
        <w:jc w:val="center"/>
        <w:rPr>
          <w:rFonts w:ascii="Times New Roman" w:hAnsi="Times New Roman" w:eastAsia="黑体" w:cs="黑体"/>
          <w:sz w:val="30"/>
          <w:szCs w:val="30"/>
          <w:highlight w:val="none"/>
        </w:rPr>
      </w:pPr>
    </w:p>
    <w:p>
      <w:pPr>
        <w:autoSpaceDE w:val="0"/>
        <w:autoSpaceDN w:val="0"/>
        <w:adjustRightInd w:val="0"/>
        <w:spacing w:line="580" w:lineRule="exact"/>
        <w:jc w:val="center"/>
        <w:rPr>
          <w:rFonts w:ascii="Times New Roman" w:hAnsi="Times New Roman" w:eastAsia="黑体" w:cs="黑体"/>
          <w:sz w:val="30"/>
          <w:szCs w:val="30"/>
          <w:highlight w:val="none"/>
        </w:rPr>
      </w:pPr>
    </w:p>
    <w:p>
      <w:pPr>
        <w:autoSpaceDE w:val="0"/>
        <w:autoSpaceDN w:val="0"/>
        <w:adjustRightInd w:val="0"/>
        <w:spacing w:line="580" w:lineRule="exact"/>
        <w:jc w:val="center"/>
        <w:rPr>
          <w:rFonts w:ascii="Times New Roman" w:hAnsi="Times New Roman" w:eastAsia="黑体" w:cs="黑体"/>
          <w:sz w:val="30"/>
          <w:szCs w:val="30"/>
          <w:highlight w:val="none"/>
        </w:rPr>
      </w:pPr>
    </w:p>
    <w:p>
      <w:pPr>
        <w:autoSpaceDE w:val="0"/>
        <w:autoSpaceDN w:val="0"/>
        <w:adjustRightInd w:val="0"/>
        <w:spacing w:line="580" w:lineRule="exact"/>
        <w:jc w:val="center"/>
        <w:rPr>
          <w:rFonts w:ascii="Times New Roman" w:hAnsi="Times New Roman" w:eastAsia="黑体" w:cs="黑体"/>
          <w:sz w:val="30"/>
          <w:szCs w:val="30"/>
          <w:highlight w:val="none"/>
        </w:rPr>
      </w:pPr>
    </w:p>
    <w:p>
      <w:pPr>
        <w:autoSpaceDE w:val="0"/>
        <w:autoSpaceDN w:val="0"/>
        <w:adjustRightInd w:val="0"/>
        <w:spacing w:line="600" w:lineRule="exact"/>
        <w:jc w:val="center"/>
        <w:rPr>
          <w:rFonts w:ascii="Times New Roman" w:hAnsi="Times New Roman" w:eastAsia="黑体" w:cs="黑体"/>
          <w:kern w:val="0"/>
          <w:sz w:val="44"/>
          <w:szCs w:val="44"/>
          <w:highlight w:val="none"/>
        </w:rPr>
      </w:pPr>
      <w:r>
        <w:rPr>
          <w:rFonts w:ascii="Times New Roman" w:hAnsi="Times New Roman" w:eastAsia="黑体" w:cs="黑体"/>
          <w:sz w:val="30"/>
          <w:szCs w:val="30"/>
          <w:highlight w:val="none"/>
        </w:rPr>
        <w:br w:type="page"/>
      </w:r>
    </w:p>
    <w:p>
      <w:pPr>
        <w:autoSpaceDE w:val="0"/>
        <w:autoSpaceDN w:val="0"/>
        <w:adjustRightInd w:val="0"/>
        <w:spacing w:line="600" w:lineRule="exact"/>
        <w:jc w:val="center"/>
        <w:rPr>
          <w:rFonts w:ascii="Times New Roman" w:hAnsi="Times New Roman" w:eastAsia="黑体" w:cs="黑体"/>
          <w:kern w:val="0"/>
          <w:sz w:val="44"/>
          <w:szCs w:val="44"/>
          <w:highlight w:val="none"/>
        </w:rPr>
      </w:pPr>
      <w:r>
        <w:rPr>
          <w:rFonts w:hint="eastAsia" w:ascii="Times New Roman" w:hAnsi="Times New Roman" w:eastAsia="黑体" w:cs="黑体"/>
          <w:kern w:val="0"/>
          <w:sz w:val="44"/>
          <w:szCs w:val="44"/>
          <w:highlight w:val="none"/>
        </w:rPr>
        <w:t>目</w:t>
      </w:r>
      <w:r>
        <w:rPr>
          <w:rFonts w:hint="eastAsia" w:ascii="Times New Roman" w:hAnsi="Times New Roman" w:eastAsia="黑体" w:cs="黑体"/>
          <w:kern w:val="0"/>
          <w:sz w:val="44"/>
          <w:szCs w:val="44"/>
          <w:highlight w:val="none"/>
          <w:lang w:val="en-US" w:eastAsia="zh-CN"/>
        </w:rPr>
        <w:t xml:space="preserve">   </w:t>
      </w:r>
      <w:r>
        <w:rPr>
          <w:rFonts w:hint="eastAsia" w:ascii="Times New Roman" w:hAnsi="Times New Roman" w:eastAsia="黑体" w:cs="黑体"/>
          <w:kern w:val="0"/>
          <w:sz w:val="44"/>
          <w:szCs w:val="44"/>
          <w:highlight w:val="none"/>
        </w:rPr>
        <w:t>录</w:t>
      </w:r>
    </w:p>
    <w:p>
      <w:pPr>
        <w:tabs>
          <w:tab w:val="right" w:leader="dot" w:pos="8306"/>
        </w:tabs>
        <w:autoSpaceDE w:val="0"/>
        <w:autoSpaceDN w:val="0"/>
        <w:adjustRightInd w:val="0"/>
        <w:spacing w:line="700" w:lineRule="exact"/>
        <w:jc w:val="left"/>
        <w:rPr>
          <w:rFonts w:ascii="Times New Roman" w:hAnsi="Times New Roman" w:eastAsia="方正小标宋简体" w:cs="Times New Roman"/>
          <w:kern w:val="0"/>
          <w:sz w:val="30"/>
          <w:szCs w:val="30"/>
          <w:highlight w:val="none"/>
        </w:rPr>
      </w:pPr>
      <w:r>
        <w:rPr>
          <w:rFonts w:hint="eastAsia" w:ascii="Times New Roman" w:hAnsi="Times New Roman" w:eastAsia="方正小标宋简体" w:cs="方正小标宋简体"/>
          <w:kern w:val="0"/>
          <w:sz w:val="30"/>
          <w:szCs w:val="30"/>
          <w:highlight w:val="none"/>
        </w:rPr>
        <w:t>第一部分</w:t>
      </w:r>
      <w:r>
        <w:rPr>
          <w:rFonts w:hint="eastAsia" w:ascii="Times New Roman" w:hAnsi="Times New Roman" w:eastAsia="方正小标宋简体" w:cs="方正小标宋简体"/>
          <w:kern w:val="0"/>
          <w:sz w:val="30"/>
          <w:szCs w:val="30"/>
          <w:highlight w:val="none"/>
          <w:lang w:val="en-US" w:eastAsia="zh-CN"/>
        </w:rPr>
        <w:t xml:space="preserve">  </w:t>
      </w:r>
      <w:r>
        <w:rPr>
          <w:rFonts w:hint="eastAsia" w:ascii="Times New Roman" w:hAnsi="Times New Roman" w:eastAsia="方正小标宋简体" w:cs="方正小标宋简体"/>
          <w:kern w:val="0"/>
          <w:sz w:val="30"/>
          <w:szCs w:val="30"/>
          <w:highlight w:val="none"/>
        </w:rPr>
        <w:t>概</w:t>
      </w:r>
      <w:r>
        <w:rPr>
          <w:rFonts w:hint="eastAsia" w:ascii="Times New Roman" w:hAnsi="Times New Roman" w:eastAsia="方正小标宋简体" w:cs="方正小标宋简体"/>
          <w:kern w:val="0"/>
          <w:sz w:val="30"/>
          <w:szCs w:val="30"/>
          <w:highlight w:val="none"/>
          <w:lang w:val="en-US" w:eastAsia="zh-CN"/>
        </w:rPr>
        <w:t xml:space="preserve"> </w:t>
      </w:r>
      <w:r>
        <w:rPr>
          <w:rFonts w:hint="eastAsia" w:ascii="Times New Roman" w:hAnsi="Times New Roman" w:eastAsia="方正小标宋简体" w:cs="方正小标宋简体"/>
          <w:kern w:val="0"/>
          <w:sz w:val="30"/>
          <w:szCs w:val="30"/>
          <w:highlight w:val="none"/>
        </w:rPr>
        <w:t>况</w:t>
      </w:r>
      <w:r>
        <w:rPr>
          <w:rFonts w:hint="eastAsia" w:ascii="Times New Roman" w:hAnsi="Times New Roman" w:eastAsia="方正小标宋简体" w:cs="方正小标宋简体"/>
          <w:kern w:val="0"/>
          <w:sz w:val="30"/>
          <w:szCs w:val="30"/>
          <w:highlight w:val="none"/>
          <w:lang w:val="en-US" w:eastAsia="zh-CN"/>
        </w:rPr>
        <w:t>......................................................................................1</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kern w:val="0"/>
          <w:sz w:val="30"/>
          <w:szCs w:val="30"/>
          <w:highlight w:val="none"/>
        </w:rPr>
        <w:t>一、主要职责</w:t>
      </w:r>
      <w:r>
        <w:rPr>
          <w:rFonts w:hint="eastAsia" w:ascii="Times New Roman" w:hAnsi="Times New Roman" w:eastAsia="仿宋_GB2312" w:cs="仿宋_GB2312"/>
          <w:kern w:val="0"/>
          <w:sz w:val="30"/>
          <w:szCs w:val="30"/>
          <w:highlight w:val="none"/>
          <w:lang w:val="en-US" w:eastAsia="zh-CN"/>
        </w:rPr>
        <w:t>.........................................................................................1</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kern w:val="0"/>
          <w:sz w:val="30"/>
          <w:szCs w:val="30"/>
          <w:highlight w:val="none"/>
        </w:rPr>
        <w:t>二、机构设置</w:t>
      </w:r>
      <w:r>
        <w:rPr>
          <w:rFonts w:hint="eastAsia" w:ascii="Times New Roman" w:hAnsi="Times New Roman" w:eastAsia="仿宋_GB2312" w:cs="仿宋_GB2312"/>
          <w:kern w:val="0"/>
          <w:sz w:val="30"/>
          <w:szCs w:val="30"/>
          <w:highlight w:val="none"/>
          <w:lang w:val="en-US" w:eastAsia="zh-CN"/>
        </w:rPr>
        <w:t>.........................................................................................1</w:t>
      </w:r>
    </w:p>
    <w:p>
      <w:pPr>
        <w:tabs>
          <w:tab w:val="right" w:leader="dot" w:pos="8306"/>
        </w:tabs>
        <w:autoSpaceDE w:val="0"/>
        <w:autoSpaceDN w:val="0"/>
        <w:adjustRightInd w:val="0"/>
        <w:spacing w:line="700" w:lineRule="exact"/>
        <w:jc w:val="left"/>
        <w:rPr>
          <w:rFonts w:ascii="Times New Roman" w:hAnsi="Times New Roman" w:eastAsia="方正小标宋简体" w:cs="Times New Roman"/>
          <w:kern w:val="0"/>
          <w:sz w:val="30"/>
          <w:szCs w:val="30"/>
          <w:highlight w:val="none"/>
        </w:rPr>
      </w:pPr>
      <w:r>
        <w:rPr>
          <w:rFonts w:hint="eastAsia" w:ascii="Times New Roman" w:hAnsi="Times New Roman" w:eastAsia="方正小标宋简体" w:cs="方正小标宋简体"/>
          <w:kern w:val="0"/>
          <w:sz w:val="30"/>
          <w:szCs w:val="30"/>
          <w:highlight w:val="none"/>
        </w:rPr>
        <w:t>第二部分</w:t>
      </w:r>
      <w:r>
        <w:rPr>
          <w:rFonts w:hint="eastAsia" w:ascii="Times New Roman" w:hAnsi="Times New Roman" w:eastAsia="方正小标宋简体" w:cs="方正小标宋简体"/>
          <w:kern w:val="0"/>
          <w:sz w:val="30"/>
          <w:szCs w:val="30"/>
          <w:highlight w:val="none"/>
          <w:lang w:val="en-US" w:eastAsia="zh-CN"/>
        </w:rPr>
        <w:t xml:space="preserve">  </w:t>
      </w:r>
      <w:r>
        <w:rPr>
          <w:rFonts w:hint="eastAsia" w:ascii="Times New Roman" w:hAnsi="Times New Roman" w:eastAsia="方正小标宋简体" w:cs="方正小标宋简体"/>
          <w:kern w:val="0"/>
          <w:sz w:val="30"/>
          <w:szCs w:val="30"/>
          <w:highlight w:val="none"/>
          <w:lang w:eastAsia="zh-CN"/>
        </w:rPr>
        <w:t>2023</w:t>
      </w:r>
      <w:r>
        <w:rPr>
          <w:rFonts w:hint="eastAsia" w:ascii="Times New Roman" w:hAnsi="Times New Roman" w:eastAsia="方正小标宋简体" w:cs="方正小标宋简体"/>
          <w:kern w:val="0"/>
          <w:sz w:val="30"/>
          <w:szCs w:val="30"/>
          <w:highlight w:val="none"/>
        </w:rPr>
        <w:t>年度部门决算表</w:t>
      </w:r>
      <w:r>
        <w:rPr>
          <w:rFonts w:hint="eastAsia" w:ascii="Times New Roman" w:hAnsi="Times New Roman" w:eastAsia="方正小标宋简体" w:cs="方正小标宋简体"/>
          <w:kern w:val="0"/>
          <w:sz w:val="30"/>
          <w:szCs w:val="30"/>
          <w:highlight w:val="none"/>
          <w:lang w:val="en-US" w:eastAsia="zh-CN"/>
        </w:rPr>
        <w:t>............................................................2</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kern w:val="0"/>
          <w:sz w:val="30"/>
          <w:szCs w:val="30"/>
          <w:highlight w:val="none"/>
        </w:rPr>
        <w:t>一、收入支出决算总表</w:t>
      </w:r>
      <w:r>
        <w:rPr>
          <w:rFonts w:hint="eastAsia" w:ascii="Times New Roman" w:hAnsi="Times New Roman" w:eastAsia="仿宋_GB2312" w:cs="仿宋_GB2312"/>
          <w:kern w:val="0"/>
          <w:sz w:val="30"/>
          <w:szCs w:val="30"/>
          <w:highlight w:val="none"/>
          <w:lang w:val="en-US" w:eastAsia="zh-CN"/>
        </w:rPr>
        <w:t>.........................................................................2</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kern w:val="0"/>
          <w:sz w:val="30"/>
          <w:szCs w:val="30"/>
          <w:highlight w:val="none"/>
        </w:rPr>
        <w:t>二、收入决算表（按功能分类列示）</w:t>
      </w:r>
      <w:r>
        <w:rPr>
          <w:rFonts w:hint="eastAsia" w:ascii="Times New Roman" w:hAnsi="Times New Roman" w:eastAsia="仿宋_GB2312" w:cs="仿宋_GB2312"/>
          <w:kern w:val="0"/>
          <w:sz w:val="30"/>
          <w:szCs w:val="30"/>
          <w:highlight w:val="none"/>
          <w:lang w:val="en-US" w:eastAsia="zh-CN"/>
        </w:rPr>
        <w:t>.................................................2</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kern w:val="0"/>
          <w:sz w:val="30"/>
          <w:szCs w:val="30"/>
          <w:highlight w:val="none"/>
        </w:rPr>
        <w:t>三、收入决算表（按单位列示）</w:t>
      </w:r>
      <w:r>
        <w:rPr>
          <w:rFonts w:hint="eastAsia" w:ascii="Times New Roman" w:hAnsi="Times New Roman" w:eastAsia="仿宋_GB2312" w:cs="仿宋_GB2312"/>
          <w:kern w:val="0"/>
          <w:sz w:val="30"/>
          <w:szCs w:val="30"/>
          <w:highlight w:val="none"/>
          <w:lang w:val="en-US" w:eastAsia="zh-CN"/>
        </w:rPr>
        <w:t>.........................................................2</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kern w:val="0"/>
          <w:sz w:val="30"/>
          <w:szCs w:val="30"/>
          <w:highlight w:val="none"/>
        </w:rPr>
        <w:t>四、支出决算表</w:t>
      </w:r>
      <w:r>
        <w:rPr>
          <w:rFonts w:hint="eastAsia" w:ascii="Times New Roman" w:hAnsi="Times New Roman" w:eastAsia="仿宋_GB2312" w:cs="仿宋_GB2312"/>
          <w:kern w:val="0"/>
          <w:sz w:val="30"/>
          <w:szCs w:val="30"/>
          <w:highlight w:val="none"/>
          <w:lang w:val="en-US" w:eastAsia="zh-CN"/>
        </w:rPr>
        <w:t>.....................................................................................2</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kern w:val="0"/>
          <w:sz w:val="30"/>
          <w:szCs w:val="30"/>
          <w:highlight w:val="none"/>
        </w:rPr>
        <w:t>五、财政拨款收入支出决算总表</w:t>
      </w:r>
      <w:r>
        <w:rPr>
          <w:rFonts w:hint="eastAsia" w:ascii="Times New Roman" w:hAnsi="Times New Roman" w:eastAsia="仿宋_GB2312" w:cs="仿宋_GB2312"/>
          <w:kern w:val="0"/>
          <w:sz w:val="30"/>
          <w:szCs w:val="30"/>
          <w:highlight w:val="none"/>
          <w:lang w:val="en-US" w:eastAsia="zh-CN"/>
        </w:rPr>
        <w:t>.........................................................2</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kern w:val="0"/>
          <w:sz w:val="30"/>
          <w:szCs w:val="30"/>
          <w:highlight w:val="none"/>
        </w:rPr>
        <w:t>六、一般公共预算财政拨款支出决算表</w:t>
      </w:r>
      <w:r>
        <w:rPr>
          <w:rFonts w:hint="eastAsia" w:ascii="Times New Roman" w:hAnsi="Times New Roman" w:eastAsia="仿宋_GB2312" w:cs="仿宋_GB2312"/>
          <w:kern w:val="0"/>
          <w:sz w:val="30"/>
          <w:szCs w:val="30"/>
          <w:highlight w:val="none"/>
          <w:lang w:val="en-US" w:eastAsia="zh-CN"/>
        </w:rPr>
        <w:t>.............................................2</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kern w:val="0"/>
          <w:sz w:val="30"/>
          <w:szCs w:val="30"/>
          <w:highlight w:val="none"/>
        </w:rPr>
        <w:t>七、一般公共预算财政拨款基本支出决算表</w:t>
      </w:r>
      <w:r>
        <w:rPr>
          <w:rFonts w:hint="eastAsia" w:ascii="Times New Roman" w:hAnsi="Times New Roman" w:eastAsia="仿宋_GB2312" w:cs="仿宋_GB2312"/>
          <w:kern w:val="0"/>
          <w:sz w:val="30"/>
          <w:szCs w:val="30"/>
          <w:highlight w:val="none"/>
          <w:lang w:val="en-US" w:eastAsia="zh-CN"/>
        </w:rPr>
        <w:t>.....................................2</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kern w:val="0"/>
          <w:sz w:val="30"/>
          <w:szCs w:val="30"/>
          <w:highlight w:val="none"/>
        </w:rPr>
        <w:t>八、政府性基金预算财政拨款收入支出决算表</w:t>
      </w:r>
      <w:r>
        <w:rPr>
          <w:rFonts w:hint="eastAsia" w:ascii="Times New Roman" w:hAnsi="Times New Roman" w:eastAsia="仿宋_GB2312" w:cs="仿宋_GB2312"/>
          <w:kern w:val="0"/>
          <w:sz w:val="30"/>
          <w:szCs w:val="30"/>
          <w:highlight w:val="none"/>
          <w:lang w:val="en-US" w:eastAsia="zh-CN"/>
        </w:rPr>
        <w:t>.................................2</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kern w:val="0"/>
          <w:sz w:val="30"/>
          <w:szCs w:val="30"/>
          <w:highlight w:val="none"/>
        </w:rPr>
        <w:t>九、国有资本经营预算财政拨款收入支出决算表</w:t>
      </w:r>
      <w:r>
        <w:rPr>
          <w:rFonts w:hint="eastAsia" w:ascii="Times New Roman" w:hAnsi="Times New Roman" w:eastAsia="仿宋_GB2312" w:cs="仿宋_GB2312"/>
          <w:kern w:val="0"/>
          <w:sz w:val="30"/>
          <w:szCs w:val="30"/>
          <w:highlight w:val="none"/>
          <w:lang w:val="en-US" w:eastAsia="zh-CN"/>
        </w:rPr>
        <w:t>.............................2</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kern w:val="0"/>
          <w:sz w:val="30"/>
          <w:szCs w:val="30"/>
          <w:highlight w:val="none"/>
        </w:rPr>
        <w:t>十、财政拨款</w:t>
      </w:r>
      <w:r>
        <w:rPr>
          <w:rFonts w:ascii="Times New Roman" w:hAnsi="Times New Roman" w:eastAsia="仿宋_GB2312" w:cs="仿宋_GB2312"/>
          <w:kern w:val="0"/>
          <w:sz w:val="30"/>
          <w:szCs w:val="30"/>
          <w:highlight w:val="none"/>
        </w:rPr>
        <w:t>“</w:t>
      </w:r>
      <w:r>
        <w:rPr>
          <w:rFonts w:hint="eastAsia" w:ascii="Times New Roman" w:hAnsi="Times New Roman" w:eastAsia="仿宋_GB2312" w:cs="仿宋_GB2312"/>
          <w:kern w:val="0"/>
          <w:sz w:val="30"/>
          <w:szCs w:val="30"/>
          <w:highlight w:val="none"/>
        </w:rPr>
        <w:t>三公</w:t>
      </w:r>
      <w:r>
        <w:rPr>
          <w:rFonts w:ascii="Times New Roman" w:hAnsi="Times New Roman" w:eastAsia="仿宋_GB2312" w:cs="仿宋_GB2312"/>
          <w:kern w:val="0"/>
          <w:sz w:val="30"/>
          <w:szCs w:val="30"/>
          <w:highlight w:val="none"/>
        </w:rPr>
        <w:t>”</w:t>
      </w:r>
      <w:r>
        <w:rPr>
          <w:rFonts w:hint="eastAsia" w:ascii="Times New Roman" w:hAnsi="Times New Roman" w:eastAsia="仿宋_GB2312" w:cs="仿宋_GB2312"/>
          <w:kern w:val="0"/>
          <w:sz w:val="30"/>
          <w:szCs w:val="30"/>
          <w:highlight w:val="none"/>
        </w:rPr>
        <w:t>经费支出决算表</w:t>
      </w:r>
      <w:r>
        <w:rPr>
          <w:rFonts w:hint="eastAsia" w:ascii="Times New Roman" w:hAnsi="Times New Roman" w:eastAsia="仿宋_GB2312" w:cs="仿宋_GB2312"/>
          <w:kern w:val="0"/>
          <w:sz w:val="30"/>
          <w:szCs w:val="30"/>
          <w:highlight w:val="none"/>
          <w:lang w:val="en-US" w:eastAsia="zh-CN"/>
        </w:rPr>
        <w:t>..................................................2</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kern w:val="0"/>
          <w:sz w:val="30"/>
          <w:szCs w:val="30"/>
          <w:highlight w:val="none"/>
        </w:rPr>
        <w:t>十一、项目支出决算表</w:t>
      </w:r>
      <w:r>
        <w:rPr>
          <w:rFonts w:hint="eastAsia" w:ascii="Times New Roman" w:hAnsi="Times New Roman" w:eastAsia="仿宋_GB2312" w:cs="仿宋_GB2312"/>
          <w:kern w:val="0"/>
          <w:sz w:val="30"/>
          <w:szCs w:val="30"/>
          <w:highlight w:val="none"/>
          <w:lang w:val="en-US" w:eastAsia="zh-CN"/>
        </w:rPr>
        <w:t>..........................................................................2</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kern w:val="0"/>
          <w:sz w:val="30"/>
          <w:szCs w:val="30"/>
          <w:highlight w:val="none"/>
        </w:rPr>
        <w:t>十二、关于空表的说明</w:t>
      </w:r>
      <w:r>
        <w:rPr>
          <w:rFonts w:hint="eastAsia" w:ascii="Times New Roman" w:hAnsi="Times New Roman" w:eastAsia="仿宋_GB2312" w:cs="仿宋_GB2312"/>
          <w:kern w:val="0"/>
          <w:sz w:val="30"/>
          <w:szCs w:val="30"/>
          <w:highlight w:val="none"/>
          <w:lang w:val="en-US" w:eastAsia="zh-CN"/>
        </w:rPr>
        <w:t>..........................................................................3</w:t>
      </w:r>
    </w:p>
    <w:p>
      <w:pPr>
        <w:tabs>
          <w:tab w:val="right" w:leader="dot" w:pos="8306"/>
        </w:tabs>
        <w:autoSpaceDE w:val="0"/>
        <w:autoSpaceDN w:val="0"/>
        <w:adjustRightInd w:val="0"/>
        <w:spacing w:line="700" w:lineRule="exact"/>
        <w:jc w:val="left"/>
        <w:rPr>
          <w:rFonts w:ascii="Times New Roman" w:hAnsi="Times New Roman" w:eastAsia="方正小标宋简体" w:cs="Times New Roman"/>
          <w:kern w:val="0"/>
          <w:sz w:val="30"/>
          <w:szCs w:val="30"/>
          <w:highlight w:val="none"/>
        </w:rPr>
      </w:pPr>
      <w:r>
        <w:rPr>
          <w:rFonts w:hint="eastAsia" w:ascii="Times New Roman" w:hAnsi="Times New Roman" w:eastAsia="方正小标宋简体" w:cs="方正小标宋简体"/>
          <w:kern w:val="0"/>
          <w:sz w:val="30"/>
          <w:szCs w:val="30"/>
          <w:highlight w:val="none"/>
        </w:rPr>
        <w:t>第三部分</w:t>
      </w:r>
      <w:r>
        <w:rPr>
          <w:rFonts w:hint="eastAsia" w:ascii="Times New Roman" w:hAnsi="Times New Roman" w:eastAsia="方正小标宋简体" w:cs="方正小标宋简体"/>
          <w:kern w:val="0"/>
          <w:sz w:val="30"/>
          <w:szCs w:val="30"/>
          <w:highlight w:val="none"/>
          <w:lang w:val="en-US" w:eastAsia="zh-CN"/>
        </w:rPr>
        <w:t xml:space="preserve">  </w:t>
      </w:r>
      <w:r>
        <w:rPr>
          <w:rFonts w:hint="eastAsia" w:ascii="Times New Roman" w:hAnsi="Times New Roman" w:eastAsia="方正小标宋简体" w:cs="方正小标宋简体"/>
          <w:kern w:val="0"/>
          <w:sz w:val="30"/>
          <w:szCs w:val="30"/>
          <w:highlight w:val="none"/>
          <w:lang w:eastAsia="zh-CN"/>
        </w:rPr>
        <w:t>2023</w:t>
      </w:r>
      <w:r>
        <w:rPr>
          <w:rFonts w:hint="eastAsia" w:ascii="Times New Roman" w:hAnsi="Times New Roman" w:eastAsia="方正小标宋简体" w:cs="方正小标宋简体"/>
          <w:kern w:val="0"/>
          <w:sz w:val="30"/>
          <w:szCs w:val="30"/>
          <w:highlight w:val="none"/>
        </w:rPr>
        <w:t>年度部门决算情况说明</w:t>
      </w:r>
      <w:r>
        <w:rPr>
          <w:rFonts w:hint="eastAsia" w:ascii="Times New Roman" w:hAnsi="Times New Roman" w:eastAsia="方正小标宋简体" w:cs="方正小标宋简体"/>
          <w:kern w:val="0"/>
          <w:sz w:val="30"/>
          <w:szCs w:val="30"/>
          <w:highlight w:val="none"/>
          <w:lang w:val="en-US" w:eastAsia="zh-CN"/>
        </w:rPr>
        <w:t>..................................................4</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kern w:val="0"/>
          <w:sz w:val="30"/>
          <w:szCs w:val="30"/>
          <w:highlight w:val="none"/>
        </w:rPr>
        <w:t>一、收支决算总体情况说明</w:t>
      </w:r>
      <w:r>
        <w:rPr>
          <w:rFonts w:hint="eastAsia" w:ascii="Times New Roman" w:hAnsi="Times New Roman" w:eastAsia="仿宋_GB2312" w:cs="仿宋_GB2312"/>
          <w:kern w:val="0"/>
          <w:sz w:val="30"/>
          <w:szCs w:val="30"/>
          <w:highlight w:val="none"/>
          <w:lang w:val="en-US" w:eastAsia="zh-CN"/>
        </w:rPr>
        <w:t>...................................................................4</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kern w:val="0"/>
          <w:sz w:val="30"/>
          <w:szCs w:val="30"/>
          <w:highlight w:val="none"/>
        </w:rPr>
        <w:t>二、收入决算情况说明</w:t>
      </w:r>
      <w:r>
        <w:rPr>
          <w:rFonts w:hint="eastAsia" w:ascii="Times New Roman" w:hAnsi="Times New Roman" w:eastAsia="仿宋_GB2312" w:cs="仿宋_GB2312"/>
          <w:kern w:val="0"/>
          <w:sz w:val="30"/>
          <w:szCs w:val="30"/>
          <w:highlight w:val="none"/>
          <w:lang w:val="en-US" w:eastAsia="zh-CN"/>
        </w:rPr>
        <w:t>...........................................................................4</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kern w:val="0"/>
          <w:sz w:val="30"/>
          <w:szCs w:val="30"/>
          <w:highlight w:val="none"/>
        </w:rPr>
        <w:t>三、支出决算情况说明</w:t>
      </w:r>
      <w:r>
        <w:rPr>
          <w:rFonts w:hint="eastAsia" w:ascii="Times New Roman" w:hAnsi="Times New Roman" w:eastAsia="仿宋_GB2312" w:cs="仿宋_GB2312"/>
          <w:kern w:val="0"/>
          <w:sz w:val="30"/>
          <w:szCs w:val="30"/>
          <w:highlight w:val="none"/>
          <w:lang w:val="en-US" w:eastAsia="zh-CN"/>
        </w:rPr>
        <w:t>...........................................................................5</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kern w:val="0"/>
          <w:sz w:val="30"/>
          <w:szCs w:val="30"/>
          <w:highlight w:val="none"/>
        </w:rPr>
        <w:t>四、财政拨款收支决算总体情况说明</w:t>
      </w:r>
      <w:r>
        <w:rPr>
          <w:rFonts w:hint="eastAsia" w:ascii="Times New Roman" w:hAnsi="Times New Roman" w:eastAsia="仿宋_GB2312" w:cs="仿宋_GB2312"/>
          <w:kern w:val="0"/>
          <w:sz w:val="30"/>
          <w:szCs w:val="30"/>
          <w:highlight w:val="none"/>
          <w:lang w:val="en-US" w:eastAsia="zh-CN"/>
        </w:rPr>
        <w:t>...................................................5</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kern w:val="0"/>
          <w:sz w:val="30"/>
          <w:szCs w:val="30"/>
          <w:highlight w:val="none"/>
        </w:rPr>
        <w:t>五、一般公共预算财政拨款支出决算情况说明</w:t>
      </w:r>
      <w:r>
        <w:rPr>
          <w:rFonts w:hint="eastAsia" w:ascii="Times New Roman" w:hAnsi="Times New Roman" w:eastAsia="仿宋_GB2312" w:cs="仿宋_GB2312"/>
          <w:kern w:val="0"/>
          <w:sz w:val="30"/>
          <w:szCs w:val="30"/>
          <w:highlight w:val="none"/>
          <w:lang w:val="en-US" w:eastAsia="zh-CN"/>
        </w:rPr>
        <w:t>...................................5</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kern w:val="0"/>
          <w:sz w:val="30"/>
          <w:szCs w:val="30"/>
          <w:highlight w:val="none"/>
        </w:rPr>
        <w:t>六、一般公共预算财政拨款基本支出决算情况说明</w:t>
      </w:r>
      <w:r>
        <w:rPr>
          <w:rFonts w:hint="eastAsia" w:ascii="Times New Roman" w:hAnsi="Times New Roman" w:eastAsia="仿宋_GB2312" w:cs="仿宋_GB2312"/>
          <w:kern w:val="0"/>
          <w:sz w:val="30"/>
          <w:szCs w:val="30"/>
          <w:highlight w:val="none"/>
          <w:lang w:val="en-US" w:eastAsia="zh-CN"/>
        </w:rPr>
        <w:t>...........................7</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kern w:val="0"/>
          <w:sz w:val="30"/>
          <w:szCs w:val="30"/>
          <w:highlight w:val="none"/>
        </w:rPr>
        <w:t>七、政府性基金预算财政拨款收支决算情况说明</w:t>
      </w:r>
      <w:r>
        <w:rPr>
          <w:rFonts w:hint="eastAsia" w:ascii="Times New Roman" w:hAnsi="Times New Roman" w:eastAsia="仿宋_GB2312" w:cs="仿宋_GB2312"/>
          <w:kern w:val="0"/>
          <w:sz w:val="30"/>
          <w:szCs w:val="30"/>
          <w:highlight w:val="none"/>
          <w:lang w:val="en-US" w:eastAsia="zh-CN"/>
        </w:rPr>
        <w:t>...............................8</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kern w:val="0"/>
          <w:sz w:val="30"/>
          <w:szCs w:val="30"/>
          <w:highlight w:val="none"/>
        </w:rPr>
        <w:t>八、国有资本经营预算财政拨款收支决算情况说明</w:t>
      </w:r>
      <w:r>
        <w:rPr>
          <w:rFonts w:hint="eastAsia" w:ascii="Times New Roman" w:hAnsi="Times New Roman" w:eastAsia="仿宋_GB2312" w:cs="仿宋_GB2312"/>
          <w:kern w:val="0"/>
          <w:sz w:val="30"/>
          <w:szCs w:val="30"/>
          <w:highlight w:val="none"/>
          <w:lang w:val="en-US" w:eastAsia="zh-CN"/>
        </w:rPr>
        <w:t>...........................9</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kern w:val="0"/>
          <w:sz w:val="30"/>
          <w:szCs w:val="30"/>
          <w:highlight w:val="none"/>
        </w:rPr>
        <w:t>九、财政拨款</w:t>
      </w:r>
      <w:r>
        <w:rPr>
          <w:rFonts w:ascii="Times New Roman" w:hAnsi="Times New Roman" w:eastAsia="仿宋_GB2312" w:cs="仿宋_GB2312"/>
          <w:kern w:val="0"/>
          <w:sz w:val="30"/>
          <w:szCs w:val="30"/>
          <w:highlight w:val="none"/>
        </w:rPr>
        <w:t>“</w:t>
      </w:r>
      <w:r>
        <w:rPr>
          <w:rFonts w:hint="eastAsia" w:ascii="Times New Roman" w:hAnsi="Times New Roman" w:eastAsia="仿宋_GB2312" w:cs="仿宋_GB2312"/>
          <w:kern w:val="0"/>
          <w:sz w:val="30"/>
          <w:szCs w:val="30"/>
          <w:highlight w:val="none"/>
        </w:rPr>
        <w:t>三公</w:t>
      </w:r>
      <w:r>
        <w:rPr>
          <w:rFonts w:ascii="Times New Roman" w:hAnsi="Times New Roman" w:eastAsia="仿宋_GB2312" w:cs="仿宋_GB2312"/>
          <w:kern w:val="0"/>
          <w:sz w:val="30"/>
          <w:szCs w:val="30"/>
          <w:highlight w:val="none"/>
        </w:rPr>
        <w:t>”</w:t>
      </w:r>
      <w:r>
        <w:rPr>
          <w:rFonts w:hint="eastAsia" w:ascii="Times New Roman" w:hAnsi="Times New Roman" w:eastAsia="仿宋_GB2312" w:cs="仿宋_GB2312"/>
          <w:kern w:val="0"/>
          <w:sz w:val="30"/>
          <w:szCs w:val="30"/>
          <w:highlight w:val="none"/>
        </w:rPr>
        <w:t>经费支出决算情况说明</w:t>
      </w:r>
      <w:r>
        <w:rPr>
          <w:rFonts w:hint="eastAsia" w:ascii="Times New Roman" w:hAnsi="Times New Roman" w:eastAsia="仿宋_GB2312" w:cs="仿宋_GB2312"/>
          <w:kern w:val="0"/>
          <w:sz w:val="30"/>
          <w:szCs w:val="30"/>
          <w:highlight w:val="none"/>
          <w:lang w:val="en-US" w:eastAsia="zh-CN"/>
        </w:rPr>
        <w:t>........................................9</w:t>
      </w:r>
    </w:p>
    <w:p>
      <w:pPr>
        <w:tabs>
          <w:tab w:val="right" w:leader="dot" w:pos="8306"/>
        </w:tabs>
        <w:autoSpaceDE w:val="0"/>
        <w:autoSpaceDN w:val="0"/>
        <w:adjustRightInd w:val="0"/>
        <w:spacing w:line="700" w:lineRule="exact"/>
        <w:ind w:left="220"/>
        <w:jc w:val="left"/>
        <w:rPr>
          <w:rFonts w:hint="default" w:ascii="Times New Roman" w:hAnsi="Times New Roman" w:eastAsia="仿宋_GB2312" w:cs="Times New Roman"/>
          <w:kern w:val="0"/>
          <w:sz w:val="30"/>
          <w:szCs w:val="30"/>
          <w:highlight w:val="none"/>
          <w:lang w:val="en-US"/>
        </w:rPr>
      </w:pPr>
      <w:r>
        <w:rPr>
          <w:rFonts w:hint="eastAsia" w:ascii="Times New Roman" w:hAnsi="Times New Roman" w:eastAsia="仿宋_GB2312" w:cs="仿宋_GB2312"/>
          <w:kern w:val="0"/>
          <w:sz w:val="30"/>
          <w:szCs w:val="30"/>
          <w:highlight w:val="none"/>
        </w:rPr>
        <w:t>十、机关运行经费支出情况说明</w:t>
      </w:r>
      <w:r>
        <w:rPr>
          <w:rFonts w:hint="eastAsia" w:ascii="Times New Roman" w:hAnsi="Times New Roman" w:eastAsia="仿宋_GB2312" w:cs="仿宋_GB2312"/>
          <w:kern w:val="0"/>
          <w:sz w:val="30"/>
          <w:szCs w:val="30"/>
          <w:highlight w:val="none"/>
          <w:lang w:val="en-US" w:eastAsia="zh-CN"/>
        </w:rPr>
        <w:t>..........................................................11</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kern w:val="0"/>
          <w:sz w:val="30"/>
          <w:szCs w:val="30"/>
          <w:highlight w:val="none"/>
        </w:rPr>
        <w:t>十一、政府采购支出情况说明</w:t>
      </w:r>
      <w:r>
        <w:rPr>
          <w:rFonts w:hint="eastAsia" w:ascii="Times New Roman" w:hAnsi="Times New Roman" w:eastAsia="仿宋_GB2312" w:cs="仿宋_GB2312"/>
          <w:kern w:val="0"/>
          <w:sz w:val="30"/>
          <w:szCs w:val="30"/>
          <w:highlight w:val="none"/>
          <w:lang w:val="en-US" w:eastAsia="zh-CN"/>
        </w:rPr>
        <w:t>..............................................................11</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kern w:val="0"/>
          <w:sz w:val="30"/>
          <w:szCs w:val="30"/>
          <w:highlight w:val="none"/>
        </w:rPr>
        <w:t>十二、国有资产占有使用情况说明</w:t>
      </w:r>
      <w:r>
        <w:rPr>
          <w:rFonts w:hint="eastAsia" w:ascii="Times New Roman" w:hAnsi="Times New Roman" w:eastAsia="仿宋_GB2312" w:cs="仿宋_GB2312"/>
          <w:kern w:val="0"/>
          <w:sz w:val="30"/>
          <w:szCs w:val="30"/>
          <w:highlight w:val="none"/>
          <w:lang w:val="en-US" w:eastAsia="zh-CN"/>
        </w:rPr>
        <w:t>......................................................12</w:t>
      </w:r>
      <w:bookmarkStart w:id="0" w:name="_GoBack"/>
      <w:bookmarkEnd w:id="0"/>
    </w:p>
    <w:p>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kern w:val="0"/>
          <w:sz w:val="30"/>
          <w:szCs w:val="30"/>
          <w:highlight w:val="none"/>
        </w:rPr>
        <w:t>十三、预算绩效情况说明</w:t>
      </w:r>
      <w:r>
        <w:rPr>
          <w:rFonts w:hint="eastAsia" w:ascii="Times New Roman" w:hAnsi="Times New Roman" w:eastAsia="仿宋_GB2312" w:cs="仿宋_GB2312"/>
          <w:kern w:val="0"/>
          <w:sz w:val="30"/>
          <w:szCs w:val="30"/>
          <w:highlight w:val="none"/>
          <w:lang w:val="en-US" w:eastAsia="zh-CN"/>
        </w:rPr>
        <w:t>......................................................................12</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highlight w:val="none"/>
          <w:lang w:val="en"/>
        </w:rPr>
      </w:pPr>
      <w:r>
        <w:rPr>
          <w:rFonts w:hint="eastAsia" w:ascii="Times New Roman" w:hAnsi="Times New Roman" w:eastAsia="仿宋_GB2312" w:cs="仿宋_GB2312"/>
          <w:kern w:val="0"/>
          <w:sz w:val="30"/>
          <w:szCs w:val="30"/>
          <w:highlight w:val="none"/>
        </w:rPr>
        <w:t>十四、教育、医疗卫生、社会保障和就业、住房保障、涉农补贴等民生支出情况说明</w:t>
      </w:r>
      <w:r>
        <w:rPr>
          <w:rFonts w:hint="eastAsia" w:ascii="Times New Roman" w:hAnsi="Times New Roman" w:eastAsia="仿宋_GB2312" w:cs="仿宋_GB2312"/>
          <w:kern w:val="0"/>
          <w:sz w:val="30"/>
          <w:szCs w:val="30"/>
          <w:highlight w:val="none"/>
          <w:lang w:val="en-US" w:eastAsia="zh-CN"/>
        </w:rPr>
        <w:t>......................................................................................12</w:t>
      </w:r>
    </w:p>
    <w:p>
      <w:pPr>
        <w:tabs>
          <w:tab w:val="right" w:leader="dot" w:pos="8306"/>
        </w:tabs>
        <w:autoSpaceDE w:val="0"/>
        <w:autoSpaceDN w:val="0"/>
        <w:adjustRightInd w:val="0"/>
        <w:spacing w:line="700" w:lineRule="exact"/>
        <w:jc w:val="left"/>
        <w:rPr>
          <w:rFonts w:ascii="Times New Roman" w:hAnsi="Times New Roman" w:eastAsia="方正小标宋简体" w:cs="Times New Roman"/>
          <w:kern w:val="0"/>
          <w:sz w:val="30"/>
          <w:szCs w:val="30"/>
          <w:highlight w:val="none"/>
          <w:lang w:val="en"/>
        </w:rPr>
      </w:pPr>
      <w:r>
        <w:rPr>
          <w:rFonts w:hint="eastAsia" w:ascii="Times New Roman" w:hAnsi="Times New Roman" w:eastAsia="方正小标宋简体" w:cs="方正小标宋简体"/>
          <w:kern w:val="0"/>
          <w:sz w:val="30"/>
          <w:szCs w:val="30"/>
          <w:highlight w:val="none"/>
          <w:lang w:val="en"/>
        </w:rPr>
        <w:t>第四部分</w:t>
      </w:r>
      <w:r>
        <w:rPr>
          <w:rFonts w:hint="eastAsia" w:ascii="Times New Roman" w:hAnsi="Times New Roman" w:eastAsia="方正小标宋简体" w:cs="方正小标宋简体"/>
          <w:kern w:val="0"/>
          <w:sz w:val="30"/>
          <w:szCs w:val="30"/>
          <w:highlight w:val="none"/>
          <w:lang w:val="en-US" w:eastAsia="zh-CN"/>
        </w:rPr>
        <w:t xml:space="preserve">  </w:t>
      </w:r>
      <w:r>
        <w:rPr>
          <w:rFonts w:hint="eastAsia" w:ascii="Times New Roman" w:hAnsi="Times New Roman" w:eastAsia="方正小标宋简体" w:cs="方正小标宋简体"/>
          <w:kern w:val="0"/>
          <w:sz w:val="30"/>
          <w:szCs w:val="30"/>
          <w:highlight w:val="none"/>
          <w:lang w:val="en"/>
        </w:rPr>
        <w:t>名词解释</w:t>
      </w:r>
      <w:r>
        <w:rPr>
          <w:rFonts w:hint="eastAsia" w:ascii="Times New Roman" w:hAnsi="Times New Roman" w:eastAsia="方正小标宋简体" w:cs="方正小标宋简体"/>
          <w:kern w:val="0"/>
          <w:sz w:val="30"/>
          <w:szCs w:val="30"/>
          <w:highlight w:val="none"/>
          <w:lang w:val="en-US" w:eastAsia="zh-CN"/>
        </w:rPr>
        <w:t>.................................................................................13</w:t>
      </w:r>
    </w:p>
    <w:p>
      <w:pPr>
        <w:keepNext/>
        <w:keepLines/>
        <w:autoSpaceDE w:val="0"/>
        <w:autoSpaceDN w:val="0"/>
        <w:adjustRightInd w:val="0"/>
        <w:spacing w:line="600" w:lineRule="exact"/>
        <w:jc w:val="center"/>
        <w:outlineLvl w:val="0"/>
        <w:rPr>
          <w:rFonts w:hint="eastAsia" w:ascii="Times New Roman" w:hAnsi="Times New Roman" w:eastAsia="方正小标宋简体" w:cs="方正小标宋简体"/>
          <w:kern w:val="44"/>
          <w:sz w:val="44"/>
          <w:szCs w:val="44"/>
          <w:highlight w:val="none"/>
        </w:rPr>
        <w:sectPr>
          <w:pgSz w:w="12240" w:h="15840"/>
          <w:pgMar w:top="2041" w:right="1559" w:bottom="1701" w:left="1559" w:header="720" w:footer="720" w:gutter="0"/>
          <w:cols w:space="720" w:num="1"/>
        </w:sectPr>
      </w:pPr>
    </w:p>
    <w:p>
      <w:pPr>
        <w:keepNext/>
        <w:keepLines/>
        <w:autoSpaceDE w:val="0"/>
        <w:autoSpaceDN w:val="0"/>
        <w:adjustRightInd w:val="0"/>
        <w:spacing w:line="600" w:lineRule="exact"/>
        <w:jc w:val="center"/>
        <w:outlineLvl w:val="0"/>
        <w:rPr>
          <w:rFonts w:ascii="Times New Roman" w:hAnsi="Times New Roman" w:eastAsia="方正小标宋简体" w:cs="方正小标宋简体"/>
          <w:kern w:val="44"/>
          <w:sz w:val="44"/>
          <w:szCs w:val="44"/>
          <w:highlight w:val="none"/>
        </w:rPr>
      </w:pPr>
      <w:r>
        <w:rPr>
          <w:rFonts w:hint="eastAsia" w:ascii="Times New Roman" w:hAnsi="Times New Roman" w:eastAsia="方正小标宋简体" w:cs="方正小标宋简体"/>
          <w:kern w:val="44"/>
          <w:sz w:val="44"/>
          <w:szCs w:val="44"/>
          <w:highlight w:val="none"/>
        </w:rPr>
        <w:t>第一部分</w:t>
      </w:r>
      <w:r>
        <w:rPr>
          <w:rFonts w:hint="eastAsia" w:ascii="Times New Roman" w:hAnsi="Times New Roman" w:eastAsia="方正小标宋简体" w:cs="方正小标宋简体"/>
          <w:kern w:val="44"/>
          <w:sz w:val="44"/>
          <w:szCs w:val="44"/>
          <w:highlight w:val="none"/>
          <w:lang w:val="en-US" w:eastAsia="zh-CN"/>
        </w:rPr>
        <w:t xml:space="preserve">  </w:t>
      </w:r>
      <w:r>
        <w:rPr>
          <w:rFonts w:hint="eastAsia" w:ascii="Times New Roman" w:hAnsi="Times New Roman" w:eastAsia="方正小标宋简体" w:cs="方正小标宋简体"/>
          <w:kern w:val="44"/>
          <w:sz w:val="44"/>
          <w:szCs w:val="44"/>
          <w:highlight w:val="none"/>
        </w:rPr>
        <w:t>概</w:t>
      </w:r>
      <w:r>
        <w:rPr>
          <w:rFonts w:hint="eastAsia" w:ascii="Times New Roman" w:hAnsi="Times New Roman" w:eastAsia="方正小标宋简体" w:cs="方正小标宋简体"/>
          <w:kern w:val="44"/>
          <w:sz w:val="44"/>
          <w:szCs w:val="44"/>
          <w:highlight w:val="none"/>
          <w:lang w:val="en-US" w:eastAsia="zh-CN"/>
        </w:rPr>
        <w:t xml:space="preserve"> </w:t>
      </w:r>
      <w:r>
        <w:rPr>
          <w:rFonts w:hint="eastAsia" w:ascii="Times New Roman" w:hAnsi="Times New Roman" w:eastAsia="方正小标宋简体" w:cs="方正小标宋简体"/>
          <w:kern w:val="44"/>
          <w:sz w:val="44"/>
          <w:szCs w:val="44"/>
          <w:highlight w:val="none"/>
        </w:rPr>
        <w:t>况</w:t>
      </w:r>
    </w:p>
    <w:p>
      <w:pPr>
        <w:keepNext/>
        <w:keepLines/>
        <w:autoSpaceDE w:val="0"/>
        <w:autoSpaceDN w:val="0"/>
        <w:adjustRightInd w:val="0"/>
        <w:spacing w:line="600" w:lineRule="exact"/>
        <w:ind w:firstLine="600"/>
        <w:jc w:val="left"/>
        <w:outlineLvl w:val="1"/>
        <w:rPr>
          <w:rFonts w:hint="eastAsia" w:ascii="Times New Roman" w:hAnsi="Times New Roman" w:eastAsia="黑体" w:cs="黑体"/>
          <w:kern w:val="0"/>
          <w:sz w:val="30"/>
          <w:szCs w:val="30"/>
          <w:highlight w:val="none"/>
        </w:rPr>
      </w:pPr>
    </w:p>
    <w:p>
      <w:pPr>
        <w:keepNext/>
        <w:keepLines/>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outlineLvl w:val="1"/>
        <w:rPr>
          <w:rFonts w:ascii="Times New Roman" w:hAnsi="Times New Roman" w:eastAsia="黑体" w:cs="黑体"/>
          <w:kern w:val="0"/>
          <w:sz w:val="32"/>
          <w:szCs w:val="32"/>
          <w:highlight w:val="none"/>
        </w:rPr>
      </w:pPr>
      <w:r>
        <w:rPr>
          <w:rFonts w:hint="eastAsia" w:ascii="Times New Roman" w:hAnsi="Times New Roman" w:eastAsia="黑体" w:cs="黑体"/>
          <w:kern w:val="0"/>
          <w:sz w:val="32"/>
          <w:szCs w:val="32"/>
          <w:highlight w:val="none"/>
        </w:rPr>
        <w:t>一、主要职责</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宋体" w:hAnsi="宋体" w:eastAsia="方正仿宋简体" w:cs="仿宋_GB2312"/>
          <w:sz w:val="32"/>
          <w:szCs w:val="32"/>
          <w:highlight w:val="none"/>
          <w:lang w:eastAsia="zh-CN"/>
        </w:rPr>
      </w:pPr>
      <w:r>
        <w:rPr>
          <w:rFonts w:hint="eastAsia" w:ascii="宋体" w:hAnsi="宋体" w:eastAsia="方正仿宋简体" w:cs="仿宋_GB2312"/>
          <w:sz w:val="32"/>
          <w:szCs w:val="32"/>
          <w:highlight w:val="none"/>
          <w:lang w:eastAsia="zh-CN"/>
        </w:rPr>
        <w:t>共青团天津市委员会综合服务中心承担天津团属新媒体矩阵建设工作，承担对各级团属新媒体的内容管理并提供相关信息服务；承担团市委官方网站、微博、微信等新媒体平台的日常管理和活动策划；开展新媒体对青少年影响的调查研究，提出相关建议和对策；承担实施以帮扶青少年脱贫脱困和健康成长、服务青少年发展为宗旨的宣传、筹资、管理等公益活动；指导天津市青少年发展基金会工作；承担团市委交办的其他服务事项。</w:t>
      </w:r>
    </w:p>
    <w:p>
      <w:pPr>
        <w:keepNext/>
        <w:keepLines/>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outlineLvl w:val="1"/>
        <w:rPr>
          <w:rFonts w:hint="eastAsia" w:ascii="Times New Roman" w:hAnsi="Times New Roman" w:eastAsia="黑体" w:cs="黑体"/>
          <w:kern w:val="0"/>
          <w:sz w:val="32"/>
          <w:szCs w:val="32"/>
          <w:highlight w:val="none"/>
        </w:rPr>
      </w:pPr>
      <w:r>
        <w:rPr>
          <w:rFonts w:hint="eastAsia" w:ascii="Times New Roman" w:hAnsi="Times New Roman" w:eastAsia="黑体" w:cs="黑体"/>
          <w:kern w:val="0"/>
          <w:sz w:val="32"/>
          <w:szCs w:val="32"/>
          <w:highlight w:val="none"/>
        </w:rPr>
        <w:t>二、机构设置</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宋体" w:hAnsi="宋体" w:eastAsia="方正仿宋简体" w:cs="仿宋_GB2312"/>
          <w:sz w:val="32"/>
          <w:szCs w:val="32"/>
          <w:highlight w:val="none"/>
          <w:lang w:eastAsia="zh-CN"/>
        </w:rPr>
      </w:pPr>
      <w:r>
        <w:rPr>
          <w:rFonts w:hint="eastAsia" w:ascii="宋体" w:hAnsi="宋体" w:eastAsia="方正仿宋简体" w:cs="仿宋_GB2312"/>
          <w:sz w:val="32"/>
          <w:szCs w:val="32"/>
          <w:highlight w:val="none"/>
          <w:lang w:eastAsia="zh-CN"/>
        </w:rPr>
        <w:t>共青团天津市委员会综合服务中心内设4个职能</w:t>
      </w:r>
      <w:r>
        <w:rPr>
          <w:rFonts w:hint="eastAsia" w:ascii="宋体" w:hAnsi="宋体" w:eastAsia="方正仿宋简体" w:cs="仿宋_GB2312"/>
          <w:sz w:val="32"/>
          <w:szCs w:val="32"/>
          <w:highlight w:val="none"/>
          <w:lang w:val="en-US" w:eastAsia="zh-CN"/>
        </w:rPr>
        <w:t>部室</w:t>
      </w:r>
      <w:r>
        <w:rPr>
          <w:rFonts w:hint="eastAsia" w:ascii="宋体" w:hAnsi="宋体" w:eastAsia="方正仿宋简体" w:cs="仿宋_GB2312"/>
          <w:sz w:val="32"/>
          <w:szCs w:val="32"/>
          <w:highlight w:val="none"/>
          <w:lang w:eastAsia="zh-CN"/>
        </w:rPr>
        <w:t>，包括办公室、新媒体管理部、希望工程管理部、网络信息部，规格均为科级；下辖0个预算单位。纳入共青团天津市委员会综合服务中心2023年度部门决算编制范围的单位包括：</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宋体" w:hAnsi="宋体" w:eastAsia="方正仿宋简体" w:cs="仿宋_GB2312"/>
          <w:sz w:val="32"/>
          <w:szCs w:val="32"/>
          <w:highlight w:val="none"/>
          <w:lang w:eastAsia="zh-CN"/>
        </w:rPr>
      </w:pPr>
      <w:r>
        <w:rPr>
          <w:rFonts w:hint="eastAsia" w:ascii="宋体" w:hAnsi="宋体" w:eastAsia="方正仿宋简体" w:cs="仿宋_GB2312"/>
          <w:sz w:val="32"/>
          <w:szCs w:val="32"/>
          <w:highlight w:val="none"/>
          <w:lang w:eastAsia="zh-CN"/>
        </w:rPr>
        <w:t>1.共青团天津市委员会综合服务中心本级。</w:t>
      </w:r>
    </w:p>
    <w:p>
      <w:pPr>
        <w:rPr>
          <w:rFonts w:ascii="Times New Roman" w:hAnsi="Times New Roman" w:eastAsia="黑体" w:cs="黑体"/>
          <w:sz w:val="30"/>
          <w:szCs w:val="30"/>
          <w:highlight w:val="none"/>
          <w:lang w:val="zh-CN"/>
        </w:rPr>
      </w:pPr>
      <w:r>
        <w:rPr>
          <w:rFonts w:ascii="Times New Roman" w:hAnsi="Times New Roman" w:eastAsia="黑体" w:cs="黑体"/>
          <w:sz w:val="30"/>
          <w:szCs w:val="30"/>
          <w:highlight w:val="none"/>
          <w:lang w:val="zh-CN"/>
        </w:rPr>
        <w:br w:type="page"/>
      </w:r>
    </w:p>
    <w:p>
      <w:pPr>
        <w:keepNext/>
        <w:keepLines/>
        <w:autoSpaceDE w:val="0"/>
        <w:autoSpaceDN w:val="0"/>
        <w:adjustRightInd w:val="0"/>
        <w:spacing w:line="600" w:lineRule="exact"/>
        <w:jc w:val="center"/>
        <w:outlineLvl w:val="0"/>
        <w:rPr>
          <w:rFonts w:ascii="Times New Roman" w:hAnsi="Times New Roman" w:eastAsia="方正小标宋简体" w:cs="Times New Roman"/>
          <w:kern w:val="0"/>
          <w:sz w:val="24"/>
          <w:szCs w:val="24"/>
          <w:highlight w:val="none"/>
        </w:rPr>
      </w:pPr>
      <w:r>
        <w:rPr>
          <w:rFonts w:hint="eastAsia" w:ascii="Times New Roman" w:hAnsi="Times New Roman" w:eastAsia="方正小标宋简体" w:cs="方正小标宋简体"/>
          <w:kern w:val="44"/>
          <w:sz w:val="44"/>
          <w:szCs w:val="44"/>
          <w:highlight w:val="none"/>
        </w:rPr>
        <w:t>第二部分</w:t>
      </w:r>
      <w:r>
        <w:rPr>
          <w:rFonts w:hint="eastAsia" w:ascii="Times New Roman" w:hAnsi="Times New Roman" w:eastAsia="方正小标宋简体" w:cs="方正小标宋简体"/>
          <w:kern w:val="44"/>
          <w:sz w:val="44"/>
          <w:szCs w:val="44"/>
          <w:highlight w:val="none"/>
          <w:lang w:val="en-US" w:eastAsia="zh-CN"/>
        </w:rPr>
        <w:t xml:space="preserve">  </w:t>
      </w:r>
      <w:r>
        <w:rPr>
          <w:rFonts w:hint="eastAsia" w:ascii="Times New Roman" w:hAnsi="Times New Roman" w:eastAsia="方正小标宋简体" w:cs="方正小标宋简体"/>
          <w:kern w:val="44"/>
          <w:sz w:val="44"/>
          <w:szCs w:val="44"/>
          <w:highlight w:val="none"/>
          <w:lang w:eastAsia="zh-CN"/>
        </w:rPr>
        <w:t>2023</w:t>
      </w:r>
      <w:r>
        <w:rPr>
          <w:rFonts w:hint="eastAsia" w:ascii="Times New Roman" w:hAnsi="Times New Roman" w:eastAsia="方正小标宋简体" w:cs="方正小标宋简体"/>
          <w:kern w:val="44"/>
          <w:sz w:val="44"/>
          <w:szCs w:val="44"/>
          <w:highlight w:val="none"/>
        </w:rPr>
        <w:t>年度部门决算表</w:t>
      </w:r>
    </w:p>
    <w:p>
      <w:pPr>
        <w:keepNext/>
        <w:keepLines/>
        <w:pageBreakBefore w:val="0"/>
        <w:widowControl w:val="0"/>
        <w:kinsoku/>
        <w:wordWrap/>
        <w:overflowPunct/>
        <w:topLinePunct w:val="0"/>
        <w:autoSpaceDE w:val="0"/>
        <w:autoSpaceDN w:val="0"/>
        <w:bidi w:val="0"/>
        <w:adjustRightInd w:val="0"/>
        <w:snapToGrid/>
        <w:spacing w:line="800" w:lineRule="exact"/>
        <w:ind w:firstLine="640" w:firstLineChars="200"/>
        <w:jc w:val="left"/>
        <w:textAlignment w:val="auto"/>
        <w:outlineLvl w:val="1"/>
        <w:rPr>
          <w:rFonts w:ascii="Times New Roman" w:hAnsi="Times New Roman" w:eastAsia="黑体" w:cs="黑体"/>
          <w:kern w:val="0"/>
          <w:sz w:val="32"/>
          <w:szCs w:val="32"/>
          <w:highlight w:val="none"/>
        </w:rPr>
      </w:pPr>
      <w:r>
        <w:rPr>
          <w:rFonts w:hint="eastAsia" w:ascii="Times New Roman" w:hAnsi="Times New Roman" w:eastAsia="黑体" w:cs="黑体"/>
          <w:kern w:val="0"/>
          <w:sz w:val="32"/>
          <w:szCs w:val="32"/>
          <w:highlight w:val="none"/>
        </w:rPr>
        <w:t>一、《收入支出决算总表》</w:t>
      </w:r>
    </w:p>
    <w:p>
      <w:pPr>
        <w:keepNext/>
        <w:keepLines/>
        <w:pageBreakBefore w:val="0"/>
        <w:widowControl w:val="0"/>
        <w:kinsoku/>
        <w:wordWrap/>
        <w:overflowPunct/>
        <w:topLinePunct w:val="0"/>
        <w:autoSpaceDE w:val="0"/>
        <w:autoSpaceDN w:val="0"/>
        <w:bidi w:val="0"/>
        <w:adjustRightInd w:val="0"/>
        <w:snapToGrid/>
        <w:spacing w:line="800" w:lineRule="exact"/>
        <w:ind w:firstLine="640" w:firstLineChars="200"/>
        <w:jc w:val="left"/>
        <w:textAlignment w:val="auto"/>
        <w:outlineLvl w:val="1"/>
        <w:rPr>
          <w:rFonts w:ascii="Times New Roman" w:hAnsi="Times New Roman" w:eastAsia="黑体" w:cs="黑体"/>
          <w:kern w:val="0"/>
          <w:sz w:val="32"/>
          <w:szCs w:val="32"/>
          <w:highlight w:val="none"/>
        </w:rPr>
      </w:pPr>
      <w:r>
        <w:rPr>
          <w:rFonts w:hint="eastAsia" w:ascii="Times New Roman" w:hAnsi="Times New Roman" w:eastAsia="黑体" w:cs="黑体"/>
          <w:kern w:val="0"/>
          <w:sz w:val="32"/>
          <w:szCs w:val="32"/>
          <w:highlight w:val="none"/>
        </w:rPr>
        <w:t>二、《收入决算表（按功能分类列示）》</w:t>
      </w:r>
    </w:p>
    <w:p>
      <w:pPr>
        <w:keepNext/>
        <w:keepLines/>
        <w:pageBreakBefore w:val="0"/>
        <w:widowControl w:val="0"/>
        <w:kinsoku/>
        <w:wordWrap/>
        <w:overflowPunct/>
        <w:topLinePunct w:val="0"/>
        <w:autoSpaceDE w:val="0"/>
        <w:autoSpaceDN w:val="0"/>
        <w:bidi w:val="0"/>
        <w:adjustRightInd w:val="0"/>
        <w:snapToGrid/>
        <w:spacing w:line="800" w:lineRule="exact"/>
        <w:ind w:firstLine="640" w:firstLineChars="200"/>
        <w:jc w:val="left"/>
        <w:textAlignment w:val="auto"/>
        <w:outlineLvl w:val="1"/>
        <w:rPr>
          <w:rFonts w:ascii="Times New Roman" w:hAnsi="Times New Roman" w:eastAsia="黑体" w:cs="黑体"/>
          <w:kern w:val="0"/>
          <w:sz w:val="32"/>
          <w:szCs w:val="32"/>
          <w:highlight w:val="none"/>
        </w:rPr>
      </w:pPr>
      <w:r>
        <w:rPr>
          <w:rFonts w:hint="eastAsia" w:ascii="Times New Roman" w:hAnsi="Times New Roman" w:eastAsia="黑体" w:cs="黑体"/>
          <w:kern w:val="0"/>
          <w:sz w:val="32"/>
          <w:szCs w:val="32"/>
          <w:highlight w:val="none"/>
        </w:rPr>
        <w:t>三、《收入决算表（按单位列示）》</w:t>
      </w:r>
    </w:p>
    <w:p>
      <w:pPr>
        <w:keepNext/>
        <w:keepLines/>
        <w:pageBreakBefore w:val="0"/>
        <w:widowControl w:val="0"/>
        <w:kinsoku/>
        <w:wordWrap/>
        <w:overflowPunct/>
        <w:topLinePunct w:val="0"/>
        <w:autoSpaceDE w:val="0"/>
        <w:autoSpaceDN w:val="0"/>
        <w:bidi w:val="0"/>
        <w:adjustRightInd w:val="0"/>
        <w:snapToGrid/>
        <w:spacing w:line="800" w:lineRule="exact"/>
        <w:ind w:firstLine="640" w:firstLineChars="200"/>
        <w:jc w:val="left"/>
        <w:textAlignment w:val="auto"/>
        <w:outlineLvl w:val="1"/>
        <w:rPr>
          <w:rFonts w:ascii="Times New Roman" w:hAnsi="Times New Roman" w:eastAsia="黑体" w:cs="黑体"/>
          <w:kern w:val="0"/>
          <w:sz w:val="32"/>
          <w:szCs w:val="32"/>
          <w:highlight w:val="none"/>
        </w:rPr>
      </w:pPr>
      <w:r>
        <w:rPr>
          <w:rFonts w:hint="eastAsia" w:ascii="Times New Roman" w:hAnsi="Times New Roman" w:eastAsia="黑体" w:cs="黑体"/>
          <w:kern w:val="0"/>
          <w:sz w:val="32"/>
          <w:szCs w:val="32"/>
          <w:highlight w:val="none"/>
        </w:rPr>
        <w:t>四、《支出决算表》</w:t>
      </w:r>
    </w:p>
    <w:p>
      <w:pPr>
        <w:keepNext/>
        <w:keepLines/>
        <w:pageBreakBefore w:val="0"/>
        <w:widowControl w:val="0"/>
        <w:kinsoku/>
        <w:wordWrap/>
        <w:overflowPunct/>
        <w:topLinePunct w:val="0"/>
        <w:autoSpaceDE w:val="0"/>
        <w:autoSpaceDN w:val="0"/>
        <w:bidi w:val="0"/>
        <w:adjustRightInd w:val="0"/>
        <w:snapToGrid/>
        <w:spacing w:line="800" w:lineRule="exact"/>
        <w:ind w:firstLine="640" w:firstLineChars="200"/>
        <w:jc w:val="left"/>
        <w:textAlignment w:val="auto"/>
        <w:outlineLvl w:val="1"/>
        <w:rPr>
          <w:rFonts w:ascii="Times New Roman" w:hAnsi="Times New Roman" w:eastAsia="黑体" w:cs="黑体"/>
          <w:kern w:val="0"/>
          <w:sz w:val="32"/>
          <w:szCs w:val="32"/>
          <w:highlight w:val="none"/>
        </w:rPr>
      </w:pPr>
      <w:r>
        <w:rPr>
          <w:rFonts w:hint="eastAsia" w:ascii="Times New Roman" w:hAnsi="Times New Roman" w:eastAsia="黑体" w:cs="黑体"/>
          <w:kern w:val="0"/>
          <w:sz w:val="32"/>
          <w:szCs w:val="32"/>
          <w:highlight w:val="none"/>
        </w:rPr>
        <w:t>五、《财政拨款收入支出决算总表》</w:t>
      </w:r>
    </w:p>
    <w:p>
      <w:pPr>
        <w:keepNext/>
        <w:keepLines/>
        <w:pageBreakBefore w:val="0"/>
        <w:widowControl w:val="0"/>
        <w:kinsoku/>
        <w:wordWrap/>
        <w:overflowPunct/>
        <w:topLinePunct w:val="0"/>
        <w:autoSpaceDE w:val="0"/>
        <w:autoSpaceDN w:val="0"/>
        <w:bidi w:val="0"/>
        <w:adjustRightInd w:val="0"/>
        <w:snapToGrid/>
        <w:spacing w:line="800" w:lineRule="exact"/>
        <w:ind w:firstLine="640" w:firstLineChars="200"/>
        <w:jc w:val="left"/>
        <w:textAlignment w:val="auto"/>
        <w:outlineLvl w:val="1"/>
        <w:rPr>
          <w:rFonts w:ascii="Times New Roman" w:hAnsi="Times New Roman" w:eastAsia="黑体" w:cs="黑体"/>
          <w:kern w:val="0"/>
          <w:sz w:val="32"/>
          <w:szCs w:val="32"/>
          <w:highlight w:val="none"/>
        </w:rPr>
      </w:pPr>
      <w:r>
        <w:rPr>
          <w:rFonts w:hint="eastAsia" w:ascii="Times New Roman" w:hAnsi="Times New Roman" w:eastAsia="黑体" w:cs="黑体"/>
          <w:kern w:val="0"/>
          <w:sz w:val="32"/>
          <w:szCs w:val="32"/>
          <w:highlight w:val="none"/>
        </w:rPr>
        <w:t>六、《一般公共预算财政拨款支出决算表》</w:t>
      </w:r>
    </w:p>
    <w:p>
      <w:pPr>
        <w:keepNext/>
        <w:keepLines/>
        <w:pageBreakBefore w:val="0"/>
        <w:widowControl w:val="0"/>
        <w:kinsoku/>
        <w:wordWrap/>
        <w:overflowPunct/>
        <w:topLinePunct w:val="0"/>
        <w:autoSpaceDE w:val="0"/>
        <w:autoSpaceDN w:val="0"/>
        <w:bidi w:val="0"/>
        <w:adjustRightInd w:val="0"/>
        <w:snapToGrid/>
        <w:spacing w:line="800" w:lineRule="exact"/>
        <w:ind w:firstLine="640" w:firstLineChars="200"/>
        <w:jc w:val="left"/>
        <w:textAlignment w:val="auto"/>
        <w:outlineLvl w:val="1"/>
        <w:rPr>
          <w:rFonts w:ascii="Times New Roman" w:hAnsi="Times New Roman" w:eastAsia="黑体" w:cs="黑体"/>
          <w:kern w:val="0"/>
          <w:sz w:val="32"/>
          <w:szCs w:val="32"/>
          <w:highlight w:val="none"/>
        </w:rPr>
      </w:pPr>
      <w:r>
        <w:rPr>
          <w:rFonts w:hint="eastAsia" w:ascii="Times New Roman" w:hAnsi="Times New Roman" w:eastAsia="黑体" w:cs="黑体"/>
          <w:kern w:val="0"/>
          <w:sz w:val="32"/>
          <w:szCs w:val="32"/>
          <w:highlight w:val="none"/>
        </w:rPr>
        <w:t>七、《一般公共预算财政拨款基本支出决算表》</w:t>
      </w:r>
    </w:p>
    <w:p>
      <w:pPr>
        <w:keepNext/>
        <w:keepLines/>
        <w:pageBreakBefore w:val="0"/>
        <w:widowControl w:val="0"/>
        <w:kinsoku/>
        <w:wordWrap/>
        <w:overflowPunct/>
        <w:topLinePunct w:val="0"/>
        <w:autoSpaceDE w:val="0"/>
        <w:autoSpaceDN w:val="0"/>
        <w:bidi w:val="0"/>
        <w:adjustRightInd w:val="0"/>
        <w:snapToGrid/>
        <w:spacing w:line="800" w:lineRule="exact"/>
        <w:ind w:firstLine="640" w:firstLineChars="200"/>
        <w:jc w:val="left"/>
        <w:textAlignment w:val="auto"/>
        <w:outlineLvl w:val="1"/>
        <w:rPr>
          <w:rFonts w:ascii="Times New Roman" w:hAnsi="Times New Roman" w:eastAsia="黑体" w:cs="黑体"/>
          <w:kern w:val="0"/>
          <w:sz w:val="32"/>
          <w:szCs w:val="32"/>
          <w:highlight w:val="none"/>
        </w:rPr>
      </w:pPr>
      <w:r>
        <w:rPr>
          <w:rFonts w:hint="eastAsia" w:ascii="Times New Roman" w:hAnsi="Times New Roman" w:eastAsia="黑体" w:cs="黑体"/>
          <w:kern w:val="0"/>
          <w:sz w:val="32"/>
          <w:szCs w:val="32"/>
          <w:highlight w:val="none"/>
        </w:rPr>
        <w:t>八、《政府性基金预算财政拨款收入支出决算表》</w:t>
      </w:r>
    </w:p>
    <w:p>
      <w:pPr>
        <w:keepNext/>
        <w:keepLines/>
        <w:pageBreakBefore w:val="0"/>
        <w:widowControl w:val="0"/>
        <w:kinsoku/>
        <w:wordWrap/>
        <w:overflowPunct/>
        <w:topLinePunct w:val="0"/>
        <w:autoSpaceDE w:val="0"/>
        <w:autoSpaceDN w:val="0"/>
        <w:bidi w:val="0"/>
        <w:adjustRightInd w:val="0"/>
        <w:snapToGrid/>
        <w:spacing w:line="800" w:lineRule="exact"/>
        <w:ind w:firstLine="640" w:firstLineChars="200"/>
        <w:jc w:val="left"/>
        <w:textAlignment w:val="auto"/>
        <w:outlineLvl w:val="1"/>
        <w:rPr>
          <w:rFonts w:ascii="Times New Roman" w:hAnsi="Times New Roman" w:eastAsia="黑体" w:cs="黑体"/>
          <w:kern w:val="0"/>
          <w:sz w:val="32"/>
          <w:szCs w:val="32"/>
          <w:highlight w:val="none"/>
        </w:rPr>
      </w:pPr>
      <w:r>
        <w:rPr>
          <w:rFonts w:hint="eastAsia" w:ascii="Times New Roman" w:hAnsi="Times New Roman" w:eastAsia="黑体" w:cs="黑体"/>
          <w:kern w:val="0"/>
          <w:sz w:val="32"/>
          <w:szCs w:val="32"/>
          <w:highlight w:val="none"/>
        </w:rPr>
        <w:t>九、《国有资本经营预算财政拨款收入支出决算表》</w:t>
      </w:r>
    </w:p>
    <w:p>
      <w:pPr>
        <w:keepNext/>
        <w:keepLines/>
        <w:pageBreakBefore w:val="0"/>
        <w:widowControl w:val="0"/>
        <w:kinsoku/>
        <w:wordWrap/>
        <w:overflowPunct/>
        <w:topLinePunct w:val="0"/>
        <w:autoSpaceDE w:val="0"/>
        <w:autoSpaceDN w:val="0"/>
        <w:bidi w:val="0"/>
        <w:adjustRightInd w:val="0"/>
        <w:snapToGrid/>
        <w:spacing w:line="800" w:lineRule="exact"/>
        <w:ind w:firstLine="640" w:firstLineChars="200"/>
        <w:jc w:val="left"/>
        <w:textAlignment w:val="auto"/>
        <w:outlineLvl w:val="1"/>
        <w:rPr>
          <w:rFonts w:ascii="Times New Roman" w:hAnsi="Times New Roman" w:eastAsia="黑体" w:cs="黑体"/>
          <w:kern w:val="0"/>
          <w:sz w:val="32"/>
          <w:szCs w:val="32"/>
          <w:highlight w:val="none"/>
        </w:rPr>
      </w:pPr>
      <w:r>
        <w:rPr>
          <w:rFonts w:hint="eastAsia" w:ascii="Times New Roman" w:hAnsi="Times New Roman" w:eastAsia="黑体" w:cs="黑体"/>
          <w:kern w:val="0"/>
          <w:sz w:val="32"/>
          <w:szCs w:val="32"/>
          <w:highlight w:val="none"/>
        </w:rPr>
        <w:t>十、《财政拨款</w:t>
      </w:r>
      <w:r>
        <w:rPr>
          <w:rFonts w:ascii="Times New Roman" w:hAnsi="Times New Roman" w:eastAsia="黑体" w:cs="黑体"/>
          <w:kern w:val="0"/>
          <w:sz w:val="32"/>
          <w:szCs w:val="32"/>
          <w:highlight w:val="none"/>
        </w:rPr>
        <w:t>“</w:t>
      </w:r>
      <w:r>
        <w:rPr>
          <w:rFonts w:hint="eastAsia" w:ascii="Times New Roman" w:hAnsi="Times New Roman" w:eastAsia="黑体" w:cs="黑体"/>
          <w:kern w:val="0"/>
          <w:sz w:val="32"/>
          <w:szCs w:val="32"/>
          <w:highlight w:val="none"/>
        </w:rPr>
        <w:t>三公</w:t>
      </w:r>
      <w:r>
        <w:rPr>
          <w:rFonts w:ascii="Times New Roman" w:hAnsi="Times New Roman" w:eastAsia="黑体" w:cs="黑体"/>
          <w:kern w:val="0"/>
          <w:sz w:val="32"/>
          <w:szCs w:val="32"/>
          <w:highlight w:val="none"/>
        </w:rPr>
        <w:t>”</w:t>
      </w:r>
      <w:r>
        <w:rPr>
          <w:rFonts w:hint="eastAsia" w:ascii="Times New Roman" w:hAnsi="Times New Roman" w:eastAsia="黑体" w:cs="黑体"/>
          <w:kern w:val="0"/>
          <w:sz w:val="32"/>
          <w:szCs w:val="32"/>
          <w:highlight w:val="none"/>
        </w:rPr>
        <w:t>经费支出决算表》</w:t>
      </w:r>
    </w:p>
    <w:p>
      <w:pPr>
        <w:keepNext/>
        <w:keepLines/>
        <w:pageBreakBefore w:val="0"/>
        <w:widowControl w:val="0"/>
        <w:kinsoku/>
        <w:wordWrap/>
        <w:overflowPunct/>
        <w:topLinePunct w:val="0"/>
        <w:autoSpaceDE w:val="0"/>
        <w:autoSpaceDN w:val="0"/>
        <w:bidi w:val="0"/>
        <w:adjustRightInd w:val="0"/>
        <w:snapToGrid/>
        <w:spacing w:line="800" w:lineRule="exact"/>
        <w:ind w:firstLine="640" w:firstLineChars="200"/>
        <w:jc w:val="left"/>
        <w:textAlignment w:val="auto"/>
        <w:outlineLvl w:val="1"/>
        <w:rPr>
          <w:rFonts w:ascii="Times New Roman" w:hAnsi="Times New Roman" w:eastAsia="黑体" w:cs="黑体"/>
          <w:kern w:val="0"/>
          <w:sz w:val="32"/>
          <w:szCs w:val="32"/>
          <w:highlight w:val="none"/>
        </w:rPr>
      </w:pPr>
      <w:r>
        <w:rPr>
          <w:rFonts w:hint="eastAsia" w:ascii="Times New Roman" w:hAnsi="Times New Roman" w:eastAsia="黑体" w:cs="黑体"/>
          <w:kern w:val="0"/>
          <w:sz w:val="32"/>
          <w:szCs w:val="32"/>
          <w:highlight w:val="none"/>
        </w:rPr>
        <w:t>十一、《项目支出决算表》</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宋体" w:hAnsi="宋体" w:eastAsia="方正仿宋简体" w:cs="仿宋_GB2312"/>
          <w:sz w:val="32"/>
          <w:szCs w:val="32"/>
          <w:highlight w:val="none"/>
          <w:lang w:eastAsia="zh-CN"/>
        </w:rPr>
      </w:pPr>
      <w:r>
        <w:rPr>
          <w:rFonts w:hint="eastAsia" w:ascii="宋体" w:hAnsi="宋体" w:eastAsia="方正仿宋简体" w:cs="仿宋_GB2312"/>
          <w:sz w:val="32"/>
          <w:szCs w:val="32"/>
          <w:highlight w:val="none"/>
          <w:lang w:eastAsia="zh-CN"/>
        </w:rPr>
        <w:t>注：以上决算公开表均作为附表，附于决算公开说明文档后。</w:t>
      </w:r>
    </w:p>
    <w:p>
      <w:pPr>
        <w:keepNext w:val="0"/>
        <w:keepLines w:val="0"/>
        <w:pageBreakBefore w:val="0"/>
        <w:widowControl w:val="0"/>
        <w:kinsoku/>
        <w:wordWrap/>
        <w:overflowPunct/>
        <w:topLinePunct w:val="0"/>
        <w:autoSpaceDE w:val="0"/>
        <w:autoSpaceDN w:val="0"/>
        <w:bidi w:val="0"/>
        <w:adjustRightInd w:val="0"/>
        <w:snapToGrid/>
        <w:spacing w:line="600" w:lineRule="exact"/>
        <w:ind w:firstLine="480" w:firstLineChars="200"/>
        <w:jc w:val="left"/>
        <w:textAlignment w:val="auto"/>
        <w:rPr>
          <w:rFonts w:hint="eastAsia" w:ascii="Times New Roman" w:hAnsi="Times New Roman" w:eastAsia="黑体" w:cs="黑体"/>
          <w:kern w:val="0"/>
          <w:sz w:val="30"/>
          <w:szCs w:val="30"/>
          <w:highlight w:val="none"/>
        </w:rPr>
      </w:pPr>
      <w:r>
        <w:rPr>
          <w:rFonts w:ascii="Times New Roman" w:hAnsi="Times New Roman" w:eastAsia="楷体" w:cs="Times New Roman"/>
          <w:kern w:val="0"/>
          <w:sz w:val="24"/>
          <w:szCs w:val="24"/>
          <w:highlight w:val="none"/>
        </w:rPr>
        <w:br w:type="page"/>
      </w:r>
      <w:r>
        <w:rPr>
          <w:rFonts w:hint="eastAsia" w:ascii="Times New Roman" w:hAnsi="Times New Roman" w:eastAsia="黑体" w:cs="黑体"/>
          <w:kern w:val="0"/>
          <w:sz w:val="30"/>
          <w:szCs w:val="30"/>
          <w:highlight w:val="none"/>
        </w:rPr>
        <w:t>十二、关于空表的说明</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00" w:firstLineChars="200"/>
        <w:jc w:val="left"/>
        <w:textAlignment w:val="auto"/>
        <w:rPr>
          <w:rFonts w:hint="eastAsia" w:ascii="宋体" w:hAnsi="宋体" w:eastAsia="方正仿宋简体" w:cs="仿宋_GB2312"/>
          <w:sz w:val="30"/>
          <w:szCs w:val="30"/>
          <w:highlight w:val="none"/>
          <w:lang w:eastAsia="zh-CN"/>
        </w:rPr>
      </w:pPr>
      <w:r>
        <w:rPr>
          <w:rFonts w:hint="eastAsia" w:ascii="宋体" w:hAnsi="宋体" w:eastAsia="方正仿宋简体" w:cs="仿宋_GB2312"/>
          <w:sz w:val="30"/>
          <w:szCs w:val="30"/>
          <w:highlight w:val="none"/>
          <w:lang w:eastAsia="zh-CN"/>
        </w:rPr>
        <w:t>1.共青团天津市委员会综合服务中心2023年度政府性基金预算财政拨款收入支出决算表为空表。</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00" w:firstLineChars="200"/>
        <w:jc w:val="left"/>
        <w:textAlignment w:val="auto"/>
        <w:rPr>
          <w:rFonts w:hint="eastAsia" w:ascii="宋体" w:hAnsi="宋体" w:eastAsia="方正仿宋简体" w:cs="仿宋_GB2312"/>
          <w:sz w:val="30"/>
          <w:szCs w:val="30"/>
          <w:highlight w:val="none"/>
          <w:lang w:eastAsia="zh-CN"/>
        </w:rPr>
      </w:pPr>
      <w:r>
        <w:rPr>
          <w:rFonts w:hint="eastAsia" w:ascii="宋体" w:hAnsi="宋体" w:eastAsia="方正仿宋简体" w:cs="仿宋_GB2312"/>
          <w:sz w:val="30"/>
          <w:szCs w:val="30"/>
          <w:highlight w:val="none"/>
          <w:lang w:eastAsia="zh-CN"/>
        </w:rPr>
        <w:t>2.共青团天津市委员会综合服务中心2023年度国有资本经营预算财政拨款收入支出决算表为空表。</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00" w:firstLineChars="200"/>
        <w:jc w:val="left"/>
        <w:textAlignment w:val="auto"/>
        <w:rPr>
          <w:rFonts w:hint="eastAsia" w:ascii="宋体" w:hAnsi="宋体" w:eastAsia="方正仿宋简体" w:cs="仿宋_GB2312"/>
          <w:sz w:val="30"/>
          <w:szCs w:val="30"/>
          <w:highlight w:val="none"/>
          <w:lang w:eastAsia="zh-CN"/>
        </w:rPr>
      </w:pPr>
      <w:r>
        <w:rPr>
          <w:rFonts w:hint="eastAsia" w:ascii="宋体" w:hAnsi="宋体" w:eastAsia="方正仿宋简体" w:cs="仿宋_GB2312"/>
          <w:sz w:val="30"/>
          <w:szCs w:val="30"/>
          <w:highlight w:val="none"/>
          <w:lang w:eastAsia="zh-CN"/>
        </w:rPr>
        <w:t>3.共青团天津市委员会综合服务中心2023年度财政拨款“三公”经费支出决算表为空表。</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00" w:firstLineChars="200"/>
        <w:jc w:val="left"/>
        <w:textAlignment w:val="auto"/>
        <w:rPr>
          <w:rFonts w:hint="eastAsia" w:ascii="宋体" w:hAnsi="宋体" w:eastAsia="方正仿宋简体" w:cs="仿宋_GB2312"/>
          <w:sz w:val="30"/>
          <w:szCs w:val="30"/>
          <w:highlight w:val="none"/>
          <w:lang w:eastAsia="zh-CN"/>
        </w:rPr>
      </w:pPr>
      <w:r>
        <w:rPr>
          <w:rFonts w:hint="eastAsia" w:ascii="宋体" w:hAnsi="宋体" w:eastAsia="方正仿宋简体" w:cs="仿宋_GB2312"/>
          <w:sz w:val="30"/>
          <w:szCs w:val="30"/>
          <w:highlight w:val="none"/>
          <w:lang w:eastAsia="zh-CN"/>
        </w:rPr>
        <w:t>4.共青团天津市委员会综合服务中心2023年度政府采购支出（附表）为空表。</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01"/>
        <w:jc w:val="left"/>
        <w:textAlignment w:val="auto"/>
        <w:rPr>
          <w:rFonts w:hint="eastAsia" w:ascii="Times New Roman" w:hAnsi="Times New Roman" w:eastAsia="仿宋_GB2312" w:cs="仿宋_GB2312"/>
          <w:sz w:val="30"/>
          <w:szCs w:val="30"/>
          <w:highlight w:val="none"/>
          <w:lang w:eastAsia="zh-CN"/>
        </w:rPr>
      </w:pPr>
    </w:p>
    <w:p>
      <w:pPr>
        <w:keepNext w:val="0"/>
        <w:keepLines w:val="0"/>
        <w:pageBreakBefore w:val="0"/>
        <w:widowControl w:val="0"/>
        <w:kinsoku/>
        <w:wordWrap/>
        <w:overflowPunct/>
        <w:topLinePunct w:val="0"/>
        <w:autoSpaceDE w:val="0"/>
        <w:autoSpaceDN w:val="0"/>
        <w:bidi w:val="0"/>
        <w:adjustRightInd w:val="0"/>
        <w:snapToGrid/>
        <w:spacing w:line="600" w:lineRule="exact"/>
        <w:ind w:firstLine="601"/>
        <w:jc w:val="left"/>
        <w:textAlignment w:val="auto"/>
        <w:rPr>
          <w:rFonts w:hint="eastAsia" w:ascii="Times New Roman" w:hAnsi="Times New Roman" w:eastAsia="仿宋_GB2312" w:cs="仿宋_GB2312"/>
          <w:sz w:val="30"/>
          <w:szCs w:val="30"/>
          <w:highlight w:val="none"/>
          <w:lang w:eastAsia="zh-CN"/>
        </w:rPr>
      </w:pPr>
    </w:p>
    <w:p>
      <w:pPr>
        <w:keepNext w:val="0"/>
        <w:keepLines w:val="0"/>
        <w:pageBreakBefore w:val="0"/>
        <w:widowControl w:val="0"/>
        <w:kinsoku/>
        <w:wordWrap/>
        <w:overflowPunct/>
        <w:topLinePunct w:val="0"/>
        <w:autoSpaceDE w:val="0"/>
        <w:autoSpaceDN w:val="0"/>
        <w:bidi w:val="0"/>
        <w:adjustRightInd w:val="0"/>
        <w:snapToGrid/>
        <w:spacing w:line="600" w:lineRule="exact"/>
        <w:ind w:firstLine="601"/>
        <w:jc w:val="left"/>
        <w:textAlignment w:val="auto"/>
        <w:rPr>
          <w:rFonts w:hint="eastAsia" w:ascii="Times New Roman" w:hAnsi="Times New Roman" w:eastAsia="仿宋_GB2312" w:cs="仿宋_GB2312"/>
          <w:sz w:val="30"/>
          <w:szCs w:val="30"/>
          <w:highlight w:val="none"/>
          <w:lang w:eastAsia="zh-CN"/>
        </w:rPr>
      </w:pPr>
    </w:p>
    <w:p>
      <w:pPr>
        <w:keepNext w:val="0"/>
        <w:keepLines w:val="0"/>
        <w:pageBreakBefore w:val="0"/>
        <w:widowControl w:val="0"/>
        <w:kinsoku/>
        <w:wordWrap/>
        <w:overflowPunct/>
        <w:topLinePunct w:val="0"/>
        <w:autoSpaceDE w:val="0"/>
        <w:autoSpaceDN w:val="0"/>
        <w:bidi w:val="0"/>
        <w:adjustRightInd w:val="0"/>
        <w:snapToGrid/>
        <w:spacing w:line="600" w:lineRule="exact"/>
        <w:ind w:firstLine="601"/>
        <w:jc w:val="left"/>
        <w:textAlignment w:val="auto"/>
        <w:rPr>
          <w:rFonts w:hint="eastAsia" w:ascii="Times New Roman" w:hAnsi="Times New Roman" w:eastAsia="仿宋_GB2312" w:cs="仿宋_GB2312"/>
          <w:sz w:val="30"/>
          <w:szCs w:val="30"/>
          <w:highlight w:val="none"/>
          <w:lang w:eastAsia="zh-CN"/>
        </w:rPr>
      </w:pPr>
    </w:p>
    <w:p>
      <w:pPr>
        <w:keepNext w:val="0"/>
        <w:keepLines w:val="0"/>
        <w:pageBreakBefore w:val="0"/>
        <w:widowControl w:val="0"/>
        <w:kinsoku/>
        <w:wordWrap/>
        <w:overflowPunct/>
        <w:topLinePunct w:val="0"/>
        <w:autoSpaceDE w:val="0"/>
        <w:autoSpaceDN w:val="0"/>
        <w:bidi w:val="0"/>
        <w:adjustRightInd w:val="0"/>
        <w:snapToGrid/>
        <w:spacing w:line="600" w:lineRule="exact"/>
        <w:ind w:firstLine="601"/>
        <w:jc w:val="left"/>
        <w:textAlignment w:val="auto"/>
        <w:rPr>
          <w:rFonts w:hint="eastAsia" w:ascii="Times New Roman" w:hAnsi="Times New Roman" w:eastAsia="仿宋_GB2312" w:cs="仿宋_GB2312"/>
          <w:sz w:val="30"/>
          <w:szCs w:val="30"/>
          <w:highlight w:val="none"/>
          <w:lang w:eastAsia="zh-CN"/>
        </w:rPr>
      </w:pPr>
    </w:p>
    <w:p>
      <w:pPr>
        <w:keepNext w:val="0"/>
        <w:keepLines w:val="0"/>
        <w:pageBreakBefore w:val="0"/>
        <w:widowControl w:val="0"/>
        <w:kinsoku/>
        <w:wordWrap/>
        <w:overflowPunct/>
        <w:topLinePunct w:val="0"/>
        <w:autoSpaceDE w:val="0"/>
        <w:autoSpaceDN w:val="0"/>
        <w:bidi w:val="0"/>
        <w:adjustRightInd w:val="0"/>
        <w:snapToGrid/>
        <w:spacing w:line="600" w:lineRule="exact"/>
        <w:ind w:firstLine="601"/>
        <w:jc w:val="left"/>
        <w:textAlignment w:val="auto"/>
        <w:rPr>
          <w:rFonts w:hint="eastAsia" w:ascii="Times New Roman" w:hAnsi="Times New Roman" w:eastAsia="仿宋_GB2312" w:cs="仿宋_GB2312"/>
          <w:sz w:val="30"/>
          <w:szCs w:val="30"/>
          <w:highlight w:val="none"/>
          <w:lang w:eastAsia="zh-CN"/>
        </w:rPr>
      </w:pPr>
    </w:p>
    <w:p>
      <w:pPr>
        <w:keepNext w:val="0"/>
        <w:keepLines w:val="0"/>
        <w:pageBreakBefore w:val="0"/>
        <w:widowControl w:val="0"/>
        <w:kinsoku/>
        <w:wordWrap/>
        <w:overflowPunct/>
        <w:topLinePunct w:val="0"/>
        <w:autoSpaceDE w:val="0"/>
        <w:autoSpaceDN w:val="0"/>
        <w:bidi w:val="0"/>
        <w:adjustRightInd w:val="0"/>
        <w:snapToGrid/>
        <w:spacing w:line="600" w:lineRule="exact"/>
        <w:ind w:firstLine="601"/>
        <w:jc w:val="left"/>
        <w:textAlignment w:val="auto"/>
        <w:rPr>
          <w:rFonts w:hint="eastAsia" w:ascii="Times New Roman" w:hAnsi="Times New Roman" w:eastAsia="仿宋_GB2312" w:cs="仿宋_GB2312"/>
          <w:sz w:val="30"/>
          <w:szCs w:val="30"/>
          <w:highlight w:val="none"/>
          <w:lang w:eastAsia="zh-CN"/>
        </w:rPr>
      </w:pPr>
    </w:p>
    <w:p>
      <w:pPr>
        <w:keepNext w:val="0"/>
        <w:keepLines w:val="0"/>
        <w:pageBreakBefore w:val="0"/>
        <w:widowControl w:val="0"/>
        <w:kinsoku/>
        <w:wordWrap/>
        <w:overflowPunct/>
        <w:topLinePunct w:val="0"/>
        <w:autoSpaceDE w:val="0"/>
        <w:autoSpaceDN w:val="0"/>
        <w:bidi w:val="0"/>
        <w:adjustRightInd w:val="0"/>
        <w:snapToGrid/>
        <w:spacing w:line="600" w:lineRule="exact"/>
        <w:ind w:firstLine="601"/>
        <w:jc w:val="left"/>
        <w:textAlignment w:val="auto"/>
        <w:rPr>
          <w:rFonts w:hint="eastAsia" w:ascii="Times New Roman" w:hAnsi="Times New Roman" w:eastAsia="仿宋_GB2312" w:cs="仿宋_GB2312"/>
          <w:sz w:val="30"/>
          <w:szCs w:val="30"/>
          <w:highlight w:val="none"/>
          <w:lang w:eastAsia="zh-CN"/>
        </w:rPr>
      </w:pPr>
    </w:p>
    <w:p>
      <w:pPr>
        <w:keepNext w:val="0"/>
        <w:keepLines w:val="0"/>
        <w:pageBreakBefore w:val="0"/>
        <w:widowControl w:val="0"/>
        <w:kinsoku/>
        <w:wordWrap/>
        <w:overflowPunct/>
        <w:topLinePunct w:val="0"/>
        <w:autoSpaceDE w:val="0"/>
        <w:autoSpaceDN w:val="0"/>
        <w:bidi w:val="0"/>
        <w:adjustRightInd w:val="0"/>
        <w:snapToGrid/>
        <w:spacing w:line="600" w:lineRule="exact"/>
        <w:ind w:firstLine="601"/>
        <w:jc w:val="left"/>
        <w:textAlignment w:val="auto"/>
        <w:rPr>
          <w:rFonts w:hint="eastAsia" w:ascii="Times New Roman" w:hAnsi="Times New Roman" w:eastAsia="仿宋_GB2312" w:cs="仿宋_GB2312"/>
          <w:sz w:val="30"/>
          <w:szCs w:val="30"/>
          <w:highlight w:val="none"/>
          <w:lang w:eastAsia="zh-CN"/>
        </w:rPr>
      </w:pPr>
    </w:p>
    <w:p>
      <w:pPr>
        <w:keepNext w:val="0"/>
        <w:keepLines w:val="0"/>
        <w:pageBreakBefore w:val="0"/>
        <w:widowControl w:val="0"/>
        <w:kinsoku/>
        <w:wordWrap/>
        <w:overflowPunct/>
        <w:topLinePunct w:val="0"/>
        <w:autoSpaceDE w:val="0"/>
        <w:autoSpaceDN w:val="0"/>
        <w:bidi w:val="0"/>
        <w:adjustRightInd w:val="0"/>
        <w:snapToGrid/>
        <w:spacing w:line="600" w:lineRule="exact"/>
        <w:ind w:firstLine="601"/>
        <w:jc w:val="left"/>
        <w:textAlignment w:val="auto"/>
        <w:rPr>
          <w:rFonts w:hint="eastAsia" w:ascii="Times New Roman" w:hAnsi="Times New Roman" w:eastAsia="仿宋_GB2312" w:cs="仿宋_GB2312"/>
          <w:sz w:val="30"/>
          <w:szCs w:val="30"/>
          <w:highlight w:val="none"/>
          <w:lang w:eastAsia="zh-CN"/>
        </w:rPr>
      </w:pPr>
    </w:p>
    <w:p>
      <w:pPr>
        <w:keepNext/>
        <w:keepLines/>
        <w:autoSpaceDE w:val="0"/>
        <w:autoSpaceDN w:val="0"/>
        <w:adjustRightInd w:val="0"/>
        <w:spacing w:line="600" w:lineRule="exact"/>
        <w:ind w:firstLine="600"/>
        <w:jc w:val="left"/>
        <w:outlineLvl w:val="1"/>
        <w:rPr>
          <w:rFonts w:ascii="Times New Roman" w:hAnsi="Times New Roman" w:eastAsia="方正小标宋简体" w:cs="方正小标宋简体"/>
          <w:kern w:val="44"/>
          <w:sz w:val="44"/>
          <w:szCs w:val="44"/>
          <w:highlight w:val="none"/>
        </w:rPr>
      </w:pPr>
      <w:r>
        <w:rPr>
          <w:rFonts w:hint="eastAsia" w:ascii="Times New Roman" w:hAnsi="Times New Roman" w:eastAsia="方正小标宋简体" w:cs="方正小标宋简体"/>
          <w:kern w:val="44"/>
          <w:sz w:val="44"/>
          <w:szCs w:val="44"/>
          <w:highlight w:val="none"/>
        </w:rPr>
        <w:t>第三部分</w:t>
      </w:r>
      <w:r>
        <w:rPr>
          <w:rFonts w:hint="eastAsia" w:ascii="Times New Roman" w:hAnsi="Times New Roman" w:eastAsia="方正小标宋简体" w:cs="方正小标宋简体"/>
          <w:kern w:val="44"/>
          <w:sz w:val="44"/>
          <w:szCs w:val="44"/>
          <w:highlight w:val="none"/>
          <w:lang w:val="en-US" w:eastAsia="zh-CN"/>
        </w:rPr>
        <w:t xml:space="preserve">  </w:t>
      </w:r>
      <w:r>
        <w:rPr>
          <w:rFonts w:hint="eastAsia" w:ascii="Times New Roman" w:hAnsi="Times New Roman" w:eastAsia="方正小标宋简体" w:cs="方正小标宋简体"/>
          <w:kern w:val="44"/>
          <w:sz w:val="44"/>
          <w:szCs w:val="44"/>
          <w:highlight w:val="none"/>
          <w:lang w:eastAsia="zh-CN"/>
        </w:rPr>
        <w:t>2023</w:t>
      </w:r>
      <w:r>
        <w:rPr>
          <w:rFonts w:hint="eastAsia" w:ascii="Times New Roman" w:hAnsi="Times New Roman" w:eastAsia="方正小标宋简体" w:cs="方正小标宋简体"/>
          <w:kern w:val="44"/>
          <w:sz w:val="44"/>
          <w:szCs w:val="44"/>
          <w:highlight w:val="none"/>
        </w:rPr>
        <w:t>年度部门决算情况说明</w:t>
      </w:r>
    </w:p>
    <w:p>
      <w:pPr>
        <w:keepNext/>
        <w:keepLines/>
        <w:autoSpaceDE w:val="0"/>
        <w:autoSpaceDN w:val="0"/>
        <w:adjustRightInd w:val="0"/>
        <w:spacing w:line="600" w:lineRule="exact"/>
        <w:ind w:firstLine="602"/>
        <w:jc w:val="left"/>
        <w:outlineLvl w:val="1"/>
        <w:rPr>
          <w:rFonts w:hint="eastAsia" w:ascii="Times New Roman" w:hAnsi="Times New Roman" w:eastAsia="黑体" w:cs="黑体"/>
          <w:b/>
          <w:bCs/>
          <w:kern w:val="0"/>
          <w:sz w:val="30"/>
          <w:szCs w:val="30"/>
          <w:highlight w:val="none"/>
          <w:lang w:val="zh-CN"/>
        </w:rPr>
      </w:pPr>
    </w:p>
    <w:p>
      <w:pPr>
        <w:keepNext/>
        <w:keepLines/>
        <w:pageBreakBefore w:val="0"/>
        <w:widowControl w:val="0"/>
        <w:kinsoku/>
        <w:wordWrap/>
        <w:overflowPunct/>
        <w:topLinePunct w:val="0"/>
        <w:autoSpaceDE w:val="0"/>
        <w:autoSpaceDN w:val="0"/>
        <w:bidi w:val="0"/>
        <w:adjustRightInd w:val="0"/>
        <w:snapToGrid/>
        <w:spacing w:line="588" w:lineRule="exact"/>
        <w:ind w:firstLine="640" w:firstLineChars="200"/>
        <w:jc w:val="left"/>
        <w:textAlignment w:val="auto"/>
        <w:outlineLvl w:val="1"/>
        <w:rPr>
          <w:rFonts w:hint="eastAsia" w:ascii="Times New Roman" w:hAnsi="Times New Roman" w:eastAsia="黑体" w:cs="黑体"/>
          <w:kern w:val="0"/>
          <w:sz w:val="32"/>
          <w:szCs w:val="32"/>
          <w:highlight w:val="none"/>
          <w:lang w:val="zh-CN"/>
        </w:rPr>
      </w:pPr>
      <w:r>
        <w:rPr>
          <w:rFonts w:hint="eastAsia" w:ascii="Times New Roman" w:hAnsi="Times New Roman" w:eastAsia="黑体" w:cs="黑体"/>
          <w:kern w:val="0"/>
          <w:sz w:val="32"/>
          <w:szCs w:val="32"/>
          <w:highlight w:val="none"/>
          <w:lang w:val="zh-CN"/>
        </w:rPr>
        <w:t>一、收入支出决算总体情况说明</w:t>
      </w:r>
    </w:p>
    <w:p>
      <w:pPr>
        <w:keepNext w:val="0"/>
        <w:keepLines w:val="0"/>
        <w:pageBreakBefore w:val="0"/>
        <w:widowControl w:val="0"/>
        <w:kinsoku/>
        <w:wordWrap/>
        <w:overflowPunct/>
        <w:topLinePunct w:val="0"/>
        <w:autoSpaceDE w:val="0"/>
        <w:autoSpaceDN w:val="0"/>
        <w:bidi w:val="0"/>
        <w:adjustRightInd w:val="0"/>
        <w:snapToGrid/>
        <w:spacing w:line="588" w:lineRule="exact"/>
        <w:ind w:firstLine="640" w:firstLineChars="200"/>
        <w:jc w:val="left"/>
        <w:textAlignment w:val="auto"/>
        <w:rPr>
          <w:rFonts w:hint="eastAsia" w:ascii="宋体" w:hAnsi="宋体" w:eastAsia="方正仿宋简体" w:cs="仿宋_GB2312"/>
          <w:sz w:val="32"/>
          <w:szCs w:val="32"/>
          <w:highlight w:val="none"/>
          <w:lang w:eastAsia="zh-CN"/>
        </w:rPr>
      </w:pPr>
      <w:r>
        <w:rPr>
          <w:rFonts w:hint="eastAsia" w:ascii="宋体" w:hAnsi="宋体" w:eastAsia="方正仿宋简体" w:cs="仿宋_GB2312"/>
          <w:sz w:val="32"/>
          <w:szCs w:val="32"/>
          <w:highlight w:val="none"/>
          <w:lang w:val="zh-CN" w:eastAsia="zh-CN"/>
        </w:rPr>
        <w:t>共青团天津市委员会综合服务中心2023年度收入、支出决算总计</w:t>
      </w:r>
      <w:r>
        <w:rPr>
          <w:rFonts w:hint="eastAsia" w:ascii="宋体" w:hAnsi="宋体" w:eastAsia="方正仿宋简体" w:cs="仿宋_GB2312"/>
          <w:sz w:val="32"/>
          <w:szCs w:val="32"/>
          <w:highlight w:val="none"/>
          <w:lang w:eastAsia="zh-CN"/>
        </w:rPr>
        <w:t>5,766,833.55元，与2022年度相比，收、支总计各增加80,971.57元，增长1.42%，</w:t>
      </w:r>
      <w:r>
        <w:rPr>
          <w:rFonts w:hint="eastAsia" w:ascii="宋体" w:hAnsi="宋体" w:eastAsia="方正仿宋简体" w:cs="仿宋_GB2312"/>
          <w:sz w:val="32"/>
          <w:szCs w:val="32"/>
          <w:highlight w:val="none"/>
          <w:lang w:val="zh-CN" w:eastAsia="zh-CN"/>
        </w:rPr>
        <w:t>主要原因是</w:t>
      </w:r>
      <w:r>
        <w:rPr>
          <w:rFonts w:hint="eastAsia" w:ascii="宋体" w:hAnsi="宋体" w:eastAsia="方正仿宋简体" w:cs="仿宋_GB2312"/>
          <w:sz w:val="32"/>
          <w:szCs w:val="32"/>
          <w:highlight w:val="none"/>
          <w:lang w:eastAsia="zh-CN"/>
        </w:rPr>
        <w:t>：人员工资、社保、公积金增加，有一名退休人员死亡。</w:t>
      </w:r>
    </w:p>
    <w:p>
      <w:pPr>
        <w:keepNext/>
        <w:keepLines/>
        <w:pageBreakBefore w:val="0"/>
        <w:widowControl w:val="0"/>
        <w:kinsoku/>
        <w:wordWrap/>
        <w:overflowPunct/>
        <w:topLinePunct w:val="0"/>
        <w:autoSpaceDE w:val="0"/>
        <w:autoSpaceDN w:val="0"/>
        <w:bidi w:val="0"/>
        <w:adjustRightInd w:val="0"/>
        <w:snapToGrid/>
        <w:spacing w:line="588" w:lineRule="exact"/>
        <w:ind w:firstLine="640" w:firstLineChars="200"/>
        <w:jc w:val="left"/>
        <w:textAlignment w:val="auto"/>
        <w:outlineLvl w:val="1"/>
        <w:rPr>
          <w:rFonts w:ascii="Times New Roman" w:hAnsi="Times New Roman" w:eastAsia="黑体" w:cs="黑体"/>
          <w:b/>
          <w:bCs/>
          <w:kern w:val="0"/>
          <w:sz w:val="32"/>
          <w:szCs w:val="32"/>
          <w:highlight w:val="none"/>
        </w:rPr>
      </w:pPr>
      <w:r>
        <w:rPr>
          <w:rFonts w:hint="eastAsia" w:ascii="Times New Roman" w:hAnsi="Times New Roman" w:eastAsia="黑体" w:cs="黑体"/>
          <w:kern w:val="0"/>
          <w:sz w:val="32"/>
          <w:szCs w:val="32"/>
          <w:highlight w:val="none"/>
          <w:lang w:val="zh-CN"/>
        </w:rPr>
        <w:t>二、收入决算情况说明</w:t>
      </w:r>
    </w:p>
    <w:p>
      <w:pPr>
        <w:keepNext w:val="0"/>
        <w:keepLines w:val="0"/>
        <w:pageBreakBefore w:val="0"/>
        <w:widowControl w:val="0"/>
        <w:kinsoku/>
        <w:wordWrap/>
        <w:overflowPunct/>
        <w:topLinePunct w:val="0"/>
        <w:autoSpaceDE w:val="0"/>
        <w:autoSpaceDN w:val="0"/>
        <w:bidi w:val="0"/>
        <w:adjustRightInd w:val="0"/>
        <w:snapToGrid/>
        <w:spacing w:line="588" w:lineRule="exact"/>
        <w:ind w:firstLine="640" w:firstLineChars="200"/>
        <w:jc w:val="left"/>
        <w:textAlignment w:val="auto"/>
        <w:rPr>
          <w:rFonts w:hint="eastAsia" w:ascii="宋体" w:hAnsi="宋体" w:eastAsia="方正仿宋简体" w:cs="仿宋_GB2312"/>
          <w:sz w:val="32"/>
          <w:szCs w:val="32"/>
          <w:highlight w:val="none"/>
          <w:lang w:val="zh-CN" w:eastAsia="zh-CN"/>
        </w:rPr>
      </w:pPr>
      <w:r>
        <w:rPr>
          <w:rFonts w:hint="eastAsia" w:ascii="宋体" w:hAnsi="宋体" w:eastAsia="方正仿宋简体" w:cs="仿宋_GB2312"/>
          <w:sz w:val="32"/>
          <w:szCs w:val="32"/>
          <w:highlight w:val="none"/>
          <w:lang w:val="zh-CN" w:eastAsia="zh-CN"/>
        </w:rPr>
        <w:t>共青团天津市委员会综合服务中心2023年度本年收入合计5,766,833.55元，与2022年度相比增加80,971.57元，主要原因是：人员工资、社保、公积金增加，有一名退休人员死亡。</w:t>
      </w:r>
    </w:p>
    <w:p>
      <w:pPr>
        <w:keepNext w:val="0"/>
        <w:keepLines w:val="0"/>
        <w:pageBreakBefore w:val="0"/>
        <w:widowControl w:val="0"/>
        <w:kinsoku/>
        <w:wordWrap/>
        <w:overflowPunct/>
        <w:topLinePunct w:val="0"/>
        <w:autoSpaceDE w:val="0"/>
        <w:autoSpaceDN w:val="0"/>
        <w:bidi w:val="0"/>
        <w:adjustRightInd w:val="0"/>
        <w:snapToGrid/>
        <w:spacing w:line="588" w:lineRule="exact"/>
        <w:ind w:firstLine="640" w:firstLineChars="200"/>
        <w:jc w:val="left"/>
        <w:textAlignment w:val="auto"/>
        <w:rPr>
          <w:rFonts w:hint="eastAsia" w:ascii="宋体" w:hAnsi="宋体" w:eastAsia="方正仿宋简体" w:cs="仿宋_GB2312"/>
          <w:sz w:val="32"/>
          <w:szCs w:val="32"/>
          <w:highlight w:val="none"/>
          <w:lang w:val="zh-CN" w:eastAsia="zh-CN"/>
        </w:rPr>
      </w:pPr>
      <w:r>
        <w:rPr>
          <w:rFonts w:hint="eastAsia" w:ascii="宋体" w:hAnsi="宋体" w:eastAsia="方正仿宋简体" w:cs="仿宋_GB2312"/>
          <w:sz w:val="32"/>
          <w:szCs w:val="32"/>
          <w:highlight w:val="none"/>
          <w:lang w:val="zh-CN" w:eastAsia="zh-CN"/>
        </w:rPr>
        <w:t>其中：一般公共预算财政拨款收入5,766,833.55元，占100.0%；</w:t>
      </w:r>
    </w:p>
    <w:p>
      <w:pPr>
        <w:keepNext w:val="0"/>
        <w:keepLines w:val="0"/>
        <w:pageBreakBefore w:val="0"/>
        <w:widowControl w:val="0"/>
        <w:kinsoku/>
        <w:wordWrap/>
        <w:overflowPunct/>
        <w:topLinePunct w:val="0"/>
        <w:autoSpaceDE w:val="0"/>
        <w:autoSpaceDN w:val="0"/>
        <w:bidi w:val="0"/>
        <w:adjustRightInd w:val="0"/>
        <w:snapToGrid/>
        <w:spacing w:line="588" w:lineRule="exact"/>
        <w:ind w:firstLine="640" w:firstLineChars="200"/>
        <w:jc w:val="left"/>
        <w:textAlignment w:val="auto"/>
        <w:rPr>
          <w:rFonts w:hint="eastAsia" w:ascii="宋体" w:hAnsi="宋体" w:eastAsia="方正仿宋简体" w:cs="仿宋_GB2312"/>
          <w:sz w:val="32"/>
          <w:szCs w:val="32"/>
          <w:highlight w:val="none"/>
          <w:lang w:val="zh-CN" w:eastAsia="zh-CN"/>
        </w:rPr>
      </w:pPr>
      <w:r>
        <w:rPr>
          <w:rFonts w:hint="eastAsia" w:ascii="宋体" w:hAnsi="宋体" w:eastAsia="方正仿宋简体" w:cs="仿宋_GB2312"/>
          <w:sz w:val="32"/>
          <w:szCs w:val="32"/>
          <w:highlight w:val="none"/>
          <w:lang w:val="zh-CN" w:eastAsia="zh-CN"/>
        </w:rPr>
        <w:t>政府性基金预算财政拨款收入0.00元，占0.0%；</w:t>
      </w:r>
    </w:p>
    <w:p>
      <w:pPr>
        <w:keepNext w:val="0"/>
        <w:keepLines w:val="0"/>
        <w:pageBreakBefore w:val="0"/>
        <w:widowControl w:val="0"/>
        <w:kinsoku/>
        <w:wordWrap/>
        <w:overflowPunct/>
        <w:topLinePunct w:val="0"/>
        <w:autoSpaceDE w:val="0"/>
        <w:autoSpaceDN w:val="0"/>
        <w:bidi w:val="0"/>
        <w:adjustRightInd w:val="0"/>
        <w:snapToGrid/>
        <w:spacing w:line="588" w:lineRule="exact"/>
        <w:ind w:firstLine="640" w:firstLineChars="200"/>
        <w:jc w:val="left"/>
        <w:textAlignment w:val="auto"/>
        <w:rPr>
          <w:rFonts w:hint="eastAsia" w:ascii="宋体" w:hAnsi="宋体" w:eastAsia="方正仿宋简体" w:cs="仿宋_GB2312"/>
          <w:sz w:val="32"/>
          <w:szCs w:val="32"/>
          <w:highlight w:val="none"/>
          <w:lang w:val="zh-CN" w:eastAsia="zh-CN"/>
        </w:rPr>
      </w:pPr>
      <w:r>
        <w:rPr>
          <w:rFonts w:hint="eastAsia" w:ascii="宋体" w:hAnsi="宋体" w:eastAsia="方正仿宋简体" w:cs="仿宋_GB2312"/>
          <w:sz w:val="32"/>
          <w:szCs w:val="32"/>
          <w:highlight w:val="none"/>
          <w:lang w:val="zh-CN" w:eastAsia="zh-CN"/>
        </w:rPr>
        <w:t>国有资本经营预算财政拨款收入0.00元，占0.0%；</w:t>
      </w:r>
    </w:p>
    <w:p>
      <w:pPr>
        <w:keepNext w:val="0"/>
        <w:keepLines w:val="0"/>
        <w:pageBreakBefore w:val="0"/>
        <w:widowControl w:val="0"/>
        <w:kinsoku/>
        <w:wordWrap/>
        <w:overflowPunct/>
        <w:topLinePunct w:val="0"/>
        <w:autoSpaceDE w:val="0"/>
        <w:autoSpaceDN w:val="0"/>
        <w:bidi w:val="0"/>
        <w:adjustRightInd w:val="0"/>
        <w:snapToGrid/>
        <w:spacing w:line="588" w:lineRule="exact"/>
        <w:ind w:firstLine="640" w:firstLineChars="200"/>
        <w:jc w:val="left"/>
        <w:textAlignment w:val="auto"/>
        <w:rPr>
          <w:rFonts w:hint="eastAsia" w:ascii="宋体" w:hAnsi="宋体" w:eastAsia="方正仿宋简体" w:cs="仿宋_GB2312"/>
          <w:sz w:val="32"/>
          <w:szCs w:val="32"/>
          <w:highlight w:val="none"/>
          <w:lang w:val="zh-CN" w:eastAsia="zh-CN"/>
        </w:rPr>
      </w:pPr>
      <w:r>
        <w:rPr>
          <w:rFonts w:hint="eastAsia" w:ascii="宋体" w:hAnsi="宋体" w:eastAsia="方正仿宋简体" w:cs="仿宋_GB2312"/>
          <w:sz w:val="32"/>
          <w:szCs w:val="32"/>
          <w:highlight w:val="none"/>
          <w:lang w:val="zh-CN" w:eastAsia="zh-CN"/>
        </w:rPr>
        <w:t>财政专户管理资金收入0.00元，占0.0%；</w:t>
      </w:r>
    </w:p>
    <w:p>
      <w:pPr>
        <w:keepNext w:val="0"/>
        <w:keepLines w:val="0"/>
        <w:pageBreakBefore w:val="0"/>
        <w:widowControl w:val="0"/>
        <w:kinsoku/>
        <w:wordWrap/>
        <w:overflowPunct/>
        <w:topLinePunct w:val="0"/>
        <w:autoSpaceDE w:val="0"/>
        <w:autoSpaceDN w:val="0"/>
        <w:bidi w:val="0"/>
        <w:adjustRightInd w:val="0"/>
        <w:snapToGrid/>
        <w:spacing w:line="588" w:lineRule="exact"/>
        <w:ind w:firstLine="640" w:firstLineChars="200"/>
        <w:jc w:val="left"/>
        <w:textAlignment w:val="auto"/>
        <w:rPr>
          <w:rFonts w:hint="eastAsia" w:ascii="宋体" w:hAnsi="宋体" w:eastAsia="方正仿宋简体" w:cs="仿宋_GB2312"/>
          <w:sz w:val="32"/>
          <w:szCs w:val="32"/>
          <w:highlight w:val="none"/>
          <w:lang w:val="zh-CN" w:eastAsia="zh-CN"/>
        </w:rPr>
      </w:pPr>
      <w:r>
        <w:rPr>
          <w:rFonts w:hint="eastAsia" w:ascii="宋体" w:hAnsi="宋体" w:eastAsia="方正仿宋简体" w:cs="仿宋_GB2312"/>
          <w:sz w:val="32"/>
          <w:szCs w:val="32"/>
          <w:highlight w:val="none"/>
          <w:lang w:val="zh-CN" w:eastAsia="zh-CN"/>
        </w:rPr>
        <w:t>事业收入0.00元，占0.0%；</w:t>
      </w:r>
    </w:p>
    <w:p>
      <w:pPr>
        <w:keepNext w:val="0"/>
        <w:keepLines w:val="0"/>
        <w:pageBreakBefore w:val="0"/>
        <w:widowControl w:val="0"/>
        <w:kinsoku/>
        <w:wordWrap/>
        <w:overflowPunct/>
        <w:topLinePunct w:val="0"/>
        <w:autoSpaceDE w:val="0"/>
        <w:autoSpaceDN w:val="0"/>
        <w:bidi w:val="0"/>
        <w:adjustRightInd w:val="0"/>
        <w:snapToGrid/>
        <w:spacing w:line="588" w:lineRule="exact"/>
        <w:ind w:firstLine="640" w:firstLineChars="200"/>
        <w:jc w:val="left"/>
        <w:textAlignment w:val="auto"/>
        <w:rPr>
          <w:rFonts w:hint="eastAsia" w:ascii="宋体" w:hAnsi="宋体" w:eastAsia="方正仿宋简体" w:cs="仿宋_GB2312"/>
          <w:sz w:val="32"/>
          <w:szCs w:val="32"/>
          <w:highlight w:val="none"/>
          <w:lang w:val="zh-CN" w:eastAsia="zh-CN"/>
        </w:rPr>
      </w:pPr>
      <w:r>
        <w:rPr>
          <w:rFonts w:hint="eastAsia" w:ascii="宋体" w:hAnsi="宋体" w:eastAsia="方正仿宋简体" w:cs="仿宋_GB2312"/>
          <w:sz w:val="32"/>
          <w:szCs w:val="32"/>
          <w:highlight w:val="none"/>
          <w:lang w:val="zh-CN" w:eastAsia="zh-CN"/>
        </w:rPr>
        <w:t>事业单位经营收入0.00元，占0.0%；</w:t>
      </w:r>
    </w:p>
    <w:p>
      <w:pPr>
        <w:keepNext w:val="0"/>
        <w:keepLines w:val="0"/>
        <w:pageBreakBefore w:val="0"/>
        <w:widowControl w:val="0"/>
        <w:kinsoku/>
        <w:wordWrap/>
        <w:overflowPunct/>
        <w:topLinePunct w:val="0"/>
        <w:autoSpaceDE w:val="0"/>
        <w:autoSpaceDN w:val="0"/>
        <w:bidi w:val="0"/>
        <w:adjustRightInd w:val="0"/>
        <w:snapToGrid/>
        <w:spacing w:line="588" w:lineRule="exact"/>
        <w:ind w:firstLine="640" w:firstLineChars="200"/>
        <w:jc w:val="left"/>
        <w:textAlignment w:val="auto"/>
        <w:rPr>
          <w:rFonts w:hint="eastAsia" w:ascii="宋体" w:hAnsi="宋体" w:eastAsia="方正仿宋简体" w:cs="仿宋_GB2312"/>
          <w:sz w:val="32"/>
          <w:szCs w:val="32"/>
          <w:highlight w:val="none"/>
          <w:lang w:val="zh-CN" w:eastAsia="zh-CN"/>
        </w:rPr>
      </w:pPr>
      <w:r>
        <w:rPr>
          <w:rFonts w:hint="eastAsia" w:ascii="宋体" w:hAnsi="宋体" w:eastAsia="方正仿宋简体" w:cs="仿宋_GB2312"/>
          <w:sz w:val="32"/>
          <w:szCs w:val="32"/>
          <w:highlight w:val="none"/>
          <w:lang w:val="zh-CN" w:eastAsia="zh-CN"/>
        </w:rPr>
        <w:t>上级补助收入0.00元，占0.0%；</w:t>
      </w:r>
    </w:p>
    <w:p>
      <w:pPr>
        <w:keepNext w:val="0"/>
        <w:keepLines w:val="0"/>
        <w:pageBreakBefore w:val="0"/>
        <w:widowControl w:val="0"/>
        <w:kinsoku/>
        <w:wordWrap/>
        <w:overflowPunct/>
        <w:topLinePunct w:val="0"/>
        <w:autoSpaceDE w:val="0"/>
        <w:autoSpaceDN w:val="0"/>
        <w:bidi w:val="0"/>
        <w:adjustRightInd w:val="0"/>
        <w:snapToGrid/>
        <w:spacing w:line="588" w:lineRule="exact"/>
        <w:ind w:firstLine="640" w:firstLineChars="200"/>
        <w:jc w:val="left"/>
        <w:textAlignment w:val="auto"/>
        <w:rPr>
          <w:rFonts w:hint="eastAsia" w:ascii="宋体" w:hAnsi="宋体" w:eastAsia="方正仿宋简体" w:cs="仿宋_GB2312"/>
          <w:sz w:val="32"/>
          <w:szCs w:val="32"/>
          <w:highlight w:val="none"/>
          <w:lang w:val="zh-CN" w:eastAsia="zh-CN"/>
        </w:rPr>
      </w:pPr>
      <w:r>
        <w:rPr>
          <w:rFonts w:hint="eastAsia" w:ascii="宋体" w:hAnsi="宋体" w:eastAsia="方正仿宋简体" w:cs="仿宋_GB2312"/>
          <w:sz w:val="32"/>
          <w:szCs w:val="32"/>
          <w:highlight w:val="none"/>
          <w:lang w:val="zh-CN" w:eastAsia="zh-CN"/>
        </w:rPr>
        <w:t>附属单位上缴收入0.00元，占0.0%；</w:t>
      </w:r>
    </w:p>
    <w:p>
      <w:pPr>
        <w:keepNext w:val="0"/>
        <w:keepLines w:val="0"/>
        <w:pageBreakBefore w:val="0"/>
        <w:widowControl w:val="0"/>
        <w:kinsoku/>
        <w:wordWrap/>
        <w:overflowPunct/>
        <w:topLinePunct w:val="0"/>
        <w:autoSpaceDE w:val="0"/>
        <w:autoSpaceDN w:val="0"/>
        <w:bidi w:val="0"/>
        <w:adjustRightInd w:val="0"/>
        <w:snapToGrid/>
        <w:spacing w:line="588" w:lineRule="exact"/>
        <w:ind w:firstLine="640" w:firstLineChars="200"/>
        <w:jc w:val="left"/>
        <w:textAlignment w:val="auto"/>
        <w:rPr>
          <w:rFonts w:hint="eastAsia" w:ascii="宋体" w:hAnsi="宋体" w:eastAsia="方正仿宋简体" w:cs="仿宋_GB2312"/>
          <w:sz w:val="32"/>
          <w:szCs w:val="32"/>
          <w:highlight w:val="none"/>
          <w:lang w:val="en-US" w:eastAsia="zh-CN"/>
        </w:rPr>
      </w:pPr>
      <w:r>
        <w:rPr>
          <w:rFonts w:hint="eastAsia" w:ascii="宋体" w:hAnsi="宋体" w:eastAsia="方正仿宋简体" w:cs="仿宋_GB2312"/>
          <w:sz w:val="32"/>
          <w:szCs w:val="32"/>
          <w:highlight w:val="none"/>
          <w:lang w:val="zh-CN" w:eastAsia="zh-CN"/>
        </w:rPr>
        <w:t>其他收入0.00元，占0.0%。</w:t>
      </w:r>
    </w:p>
    <w:p>
      <w:pPr>
        <w:keepNext/>
        <w:keepLines/>
        <w:pageBreakBefore w:val="0"/>
        <w:widowControl w:val="0"/>
        <w:kinsoku/>
        <w:wordWrap/>
        <w:overflowPunct/>
        <w:topLinePunct w:val="0"/>
        <w:autoSpaceDE w:val="0"/>
        <w:autoSpaceDN w:val="0"/>
        <w:bidi w:val="0"/>
        <w:adjustRightInd w:val="0"/>
        <w:snapToGrid/>
        <w:spacing w:line="588" w:lineRule="exact"/>
        <w:ind w:firstLine="640" w:firstLineChars="200"/>
        <w:jc w:val="left"/>
        <w:textAlignment w:val="auto"/>
        <w:outlineLvl w:val="1"/>
        <w:rPr>
          <w:rFonts w:hint="eastAsia" w:ascii="Times New Roman" w:hAnsi="Times New Roman" w:eastAsia="黑体" w:cs="黑体"/>
          <w:kern w:val="0"/>
          <w:sz w:val="32"/>
          <w:szCs w:val="32"/>
          <w:highlight w:val="none"/>
          <w:lang w:val="zh-CN"/>
        </w:rPr>
      </w:pPr>
      <w:r>
        <w:rPr>
          <w:rFonts w:hint="eastAsia" w:ascii="Times New Roman" w:hAnsi="Times New Roman" w:eastAsia="黑体" w:cs="黑体"/>
          <w:kern w:val="0"/>
          <w:sz w:val="32"/>
          <w:szCs w:val="32"/>
          <w:highlight w:val="none"/>
          <w:lang w:val="zh-CN"/>
        </w:rPr>
        <w:t>三、支出决算情况说明</w:t>
      </w:r>
    </w:p>
    <w:p>
      <w:pPr>
        <w:keepNext w:val="0"/>
        <w:keepLines w:val="0"/>
        <w:pageBreakBefore w:val="0"/>
        <w:widowControl w:val="0"/>
        <w:kinsoku/>
        <w:wordWrap/>
        <w:overflowPunct/>
        <w:topLinePunct w:val="0"/>
        <w:autoSpaceDE w:val="0"/>
        <w:autoSpaceDN w:val="0"/>
        <w:bidi w:val="0"/>
        <w:adjustRightInd w:val="0"/>
        <w:snapToGrid/>
        <w:spacing w:line="588" w:lineRule="exact"/>
        <w:ind w:firstLine="640" w:firstLineChars="200"/>
        <w:jc w:val="left"/>
        <w:textAlignment w:val="auto"/>
        <w:rPr>
          <w:rFonts w:hint="eastAsia" w:ascii="宋体" w:hAnsi="宋体" w:eastAsia="方正仿宋简体" w:cs="仿宋_GB2312"/>
          <w:sz w:val="32"/>
          <w:szCs w:val="32"/>
          <w:highlight w:val="none"/>
          <w:lang w:val="zh-CN" w:eastAsia="zh-CN"/>
        </w:rPr>
      </w:pPr>
      <w:r>
        <w:rPr>
          <w:rFonts w:hint="eastAsia" w:ascii="宋体" w:hAnsi="宋体" w:eastAsia="方正仿宋简体" w:cs="仿宋_GB2312"/>
          <w:sz w:val="32"/>
          <w:szCs w:val="32"/>
          <w:highlight w:val="none"/>
          <w:lang w:val="zh-CN" w:eastAsia="zh-CN"/>
        </w:rPr>
        <w:t>共青团天津市委员会综合服务中心2023年度本年支出合计5,766,833.55元，与2022年度相比</w:t>
      </w:r>
      <w:r>
        <w:rPr>
          <w:rFonts w:hint="eastAsia" w:ascii="宋体" w:hAnsi="宋体" w:eastAsia="方正仿宋简体" w:cs="仿宋_GB2312"/>
          <w:sz w:val="32"/>
          <w:szCs w:val="32"/>
          <w:highlight w:val="none"/>
          <w:lang w:val="en-US" w:eastAsia="zh-CN"/>
        </w:rPr>
        <w:t>增加</w:t>
      </w:r>
      <w:r>
        <w:rPr>
          <w:rFonts w:hint="eastAsia" w:ascii="宋体" w:hAnsi="宋体" w:eastAsia="方正仿宋简体" w:cs="仿宋_GB2312"/>
          <w:sz w:val="32"/>
          <w:szCs w:val="32"/>
          <w:highlight w:val="none"/>
          <w:lang w:val="zh-CN" w:eastAsia="zh-CN"/>
        </w:rPr>
        <w:t>80,971.57元，主要原因是：人员工资、社保、公积金增加，有一名退休人员死亡。</w:t>
      </w:r>
    </w:p>
    <w:p>
      <w:pPr>
        <w:keepNext w:val="0"/>
        <w:keepLines w:val="0"/>
        <w:pageBreakBefore w:val="0"/>
        <w:widowControl w:val="0"/>
        <w:kinsoku/>
        <w:wordWrap/>
        <w:overflowPunct/>
        <w:topLinePunct w:val="0"/>
        <w:autoSpaceDE w:val="0"/>
        <w:autoSpaceDN w:val="0"/>
        <w:bidi w:val="0"/>
        <w:adjustRightInd w:val="0"/>
        <w:snapToGrid/>
        <w:spacing w:line="588" w:lineRule="exact"/>
        <w:ind w:firstLine="640" w:firstLineChars="200"/>
        <w:jc w:val="left"/>
        <w:textAlignment w:val="auto"/>
        <w:rPr>
          <w:rFonts w:hint="eastAsia" w:ascii="宋体" w:hAnsi="宋体" w:eastAsia="方正仿宋简体" w:cs="仿宋_GB2312"/>
          <w:sz w:val="32"/>
          <w:szCs w:val="32"/>
          <w:highlight w:val="none"/>
          <w:lang w:val="en-US" w:eastAsia="zh-CN"/>
        </w:rPr>
      </w:pPr>
      <w:r>
        <w:rPr>
          <w:rFonts w:hint="eastAsia" w:ascii="宋体" w:hAnsi="宋体" w:eastAsia="方正仿宋简体" w:cs="仿宋_GB2312"/>
          <w:sz w:val="32"/>
          <w:szCs w:val="32"/>
          <w:highlight w:val="none"/>
          <w:lang w:val="zh-CN" w:eastAsia="zh-CN"/>
        </w:rPr>
        <w:t>其中：基本支出5,727,631.55元，占</w:t>
      </w:r>
      <w:r>
        <w:rPr>
          <w:rFonts w:hint="eastAsia" w:ascii="宋体" w:hAnsi="宋体" w:eastAsia="方正仿宋简体" w:cs="仿宋_GB2312"/>
          <w:sz w:val="32"/>
          <w:szCs w:val="32"/>
          <w:highlight w:val="none"/>
          <w:lang w:val="en-US" w:eastAsia="zh-CN"/>
        </w:rPr>
        <w:t>99.32</w:t>
      </w:r>
      <w:r>
        <w:rPr>
          <w:rFonts w:hint="eastAsia" w:ascii="宋体" w:hAnsi="宋体" w:eastAsia="方正仿宋简体" w:cs="仿宋_GB2312"/>
          <w:sz w:val="32"/>
          <w:szCs w:val="32"/>
          <w:highlight w:val="none"/>
          <w:lang w:val="zh-CN" w:eastAsia="zh-CN"/>
        </w:rPr>
        <w:t>%；</w:t>
      </w:r>
    </w:p>
    <w:p>
      <w:pPr>
        <w:keepNext w:val="0"/>
        <w:keepLines w:val="0"/>
        <w:pageBreakBefore w:val="0"/>
        <w:widowControl w:val="0"/>
        <w:kinsoku/>
        <w:wordWrap/>
        <w:overflowPunct/>
        <w:topLinePunct w:val="0"/>
        <w:autoSpaceDE w:val="0"/>
        <w:autoSpaceDN w:val="0"/>
        <w:bidi w:val="0"/>
        <w:adjustRightInd w:val="0"/>
        <w:snapToGrid/>
        <w:spacing w:line="588" w:lineRule="exact"/>
        <w:ind w:firstLine="640" w:firstLineChars="200"/>
        <w:jc w:val="left"/>
        <w:textAlignment w:val="auto"/>
        <w:rPr>
          <w:rFonts w:hint="eastAsia" w:ascii="宋体" w:hAnsi="宋体" w:eastAsia="方正仿宋简体" w:cs="仿宋_GB2312"/>
          <w:sz w:val="32"/>
          <w:szCs w:val="32"/>
          <w:highlight w:val="none"/>
          <w:lang w:val="zh-CN" w:eastAsia="zh-CN"/>
        </w:rPr>
      </w:pPr>
      <w:r>
        <w:rPr>
          <w:rFonts w:hint="eastAsia" w:ascii="宋体" w:hAnsi="宋体" w:eastAsia="方正仿宋简体" w:cs="仿宋_GB2312"/>
          <w:sz w:val="32"/>
          <w:szCs w:val="32"/>
          <w:highlight w:val="none"/>
          <w:lang w:val="zh-CN" w:eastAsia="zh-CN"/>
        </w:rPr>
        <w:t>项目支出39,202.00元，占0.68%；</w:t>
      </w:r>
    </w:p>
    <w:p>
      <w:pPr>
        <w:keepNext w:val="0"/>
        <w:keepLines w:val="0"/>
        <w:pageBreakBefore w:val="0"/>
        <w:widowControl w:val="0"/>
        <w:kinsoku/>
        <w:wordWrap/>
        <w:overflowPunct/>
        <w:topLinePunct w:val="0"/>
        <w:autoSpaceDE w:val="0"/>
        <w:autoSpaceDN w:val="0"/>
        <w:bidi w:val="0"/>
        <w:adjustRightInd w:val="0"/>
        <w:snapToGrid/>
        <w:spacing w:line="588" w:lineRule="exact"/>
        <w:ind w:firstLine="640" w:firstLineChars="200"/>
        <w:jc w:val="left"/>
        <w:textAlignment w:val="auto"/>
        <w:rPr>
          <w:rFonts w:hint="eastAsia" w:ascii="宋体" w:hAnsi="宋体" w:eastAsia="方正仿宋简体" w:cs="仿宋_GB2312"/>
          <w:sz w:val="32"/>
          <w:szCs w:val="32"/>
          <w:highlight w:val="none"/>
          <w:lang w:val="zh-CN" w:eastAsia="zh-CN"/>
        </w:rPr>
      </w:pPr>
      <w:r>
        <w:rPr>
          <w:rFonts w:hint="eastAsia" w:ascii="宋体" w:hAnsi="宋体" w:eastAsia="方正仿宋简体" w:cs="仿宋_GB2312"/>
          <w:sz w:val="32"/>
          <w:szCs w:val="32"/>
          <w:highlight w:val="none"/>
          <w:lang w:val="zh-CN" w:eastAsia="zh-CN"/>
        </w:rPr>
        <w:t>上缴上级支出0.00元，占0.0%；</w:t>
      </w:r>
    </w:p>
    <w:p>
      <w:pPr>
        <w:keepNext w:val="0"/>
        <w:keepLines w:val="0"/>
        <w:pageBreakBefore w:val="0"/>
        <w:widowControl w:val="0"/>
        <w:kinsoku/>
        <w:wordWrap/>
        <w:overflowPunct/>
        <w:topLinePunct w:val="0"/>
        <w:autoSpaceDE w:val="0"/>
        <w:autoSpaceDN w:val="0"/>
        <w:bidi w:val="0"/>
        <w:adjustRightInd w:val="0"/>
        <w:snapToGrid/>
        <w:spacing w:line="588" w:lineRule="exact"/>
        <w:ind w:firstLine="640" w:firstLineChars="200"/>
        <w:jc w:val="left"/>
        <w:textAlignment w:val="auto"/>
        <w:rPr>
          <w:rFonts w:hint="eastAsia" w:ascii="宋体" w:hAnsi="宋体" w:eastAsia="方正仿宋简体" w:cs="仿宋_GB2312"/>
          <w:sz w:val="32"/>
          <w:szCs w:val="32"/>
          <w:highlight w:val="none"/>
          <w:lang w:val="zh-CN" w:eastAsia="zh-CN"/>
        </w:rPr>
      </w:pPr>
      <w:r>
        <w:rPr>
          <w:rFonts w:hint="eastAsia" w:ascii="宋体" w:hAnsi="宋体" w:eastAsia="方正仿宋简体" w:cs="仿宋_GB2312"/>
          <w:sz w:val="32"/>
          <w:szCs w:val="32"/>
          <w:highlight w:val="none"/>
          <w:lang w:val="zh-CN" w:eastAsia="zh-CN"/>
        </w:rPr>
        <w:t>经营支出0.00元，占0.0%；</w:t>
      </w:r>
    </w:p>
    <w:p>
      <w:pPr>
        <w:keepNext w:val="0"/>
        <w:keepLines w:val="0"/>
        <w:pageBreakBefore w:val="0"/>
        <w:widowControl w:val="0"/>
        <w:kinsoku/>
        <w:wordWrap/>
        <w:overflowPunct/>
        <w:topLinePunct w:val="0"/>
        <w:autoSpaceDE w:val="0"/>
        <w:autoSpaceDN w:val="0"/>
        <w:bidi w:val="0"/>
        <w:adjustRightInd w:val="0"/>
        <w:snapToGrid/>
        <w:spacing w:line="588" w:lineRule="exact"/>
        <w:ind w:firstLine="640" w:firstLineChars="200"/>
        <w:jc w:val="left"/>
        <w:textAlignment w:val="auto"/>
        <w:rPr>
          <w:rFonts w:hint="eastAsia" w:ascii="宋体" w:hAnsi="宋体" w:eastAsia="方正仿宋简体" w:cs="仿宋_GB2312"/>
          <w:sz w:val="32"/>
          <w:szCs w:val="32"/>
          <w:highlight w:val="none"/>
          <w:lang w:val="zh-CN" w:eastAsia="zh-CN"/>
        </w:rPr>
      </w:pPr>
      <w:r>
        <w:rPr>
          <w:rFonts w:hint="eastAsia" w:ascii="宋体" w:hAnsi="宋体" w:eastAsia="方正仿宋简体" w:cs="仿宋_GB2312"/>
          <w:sz w:val="32"/>
          <w:szCs w:val="32"/>
          <w:highlight w:val="none"/>
          <w:lang w:val="zh-CN" w:eastAsia="zh-CN"/>
        </w:rPr>
        <w:t>对附属单位补助支出0.00元，占0.0%。</w:t>
      </w:r>
    </w:p>
    <w:p>
      <w:pPr>
        <w:keepNext/>
        <w:keepLines/>
        <w:pageBreakBefore w:val="0"/>
        <w:widowControl w:val="0"/>
        <w:kinsoku/>
        <w:wordWrap/>
        <w:overflowPunct/>
        <w:topLinePunct w:val="0"/>
        <w:autoSpaceDE w:val="0"/>
        <w:autoSpaceDN w:val="0"/>
        <w:bidi w:val="0"/>
        <w:adjustRightInd w:val="0"/>
        <w:snapToGrid/>
        <w:spacing w:line="588" w:lineRule="exact"/>
        <w:ind w:firstLine="640" w:firstLineChars="200"/>
        <w:jc w:val="left"/>
        <w:textAlignment w:val="auto"/>
        <w:outlineLvl w:val="1"/>
        <w:rPr>
          <w:rFonts w:ascii="Times New Roman" w:hAnsi="Times New Roman" w:eastAsia="黑体" w:cs="黑体"/>
          <w:b/>
          <w:bCs/>
          <w:kern w:val="0"/>
          <w:sz w:val="32"/>
          <w:szCs w:val="32"/>
          <w:highlight w:val="none"/>
          <w:lang w:val="zh-CN"/>
        </w:rPr>
      </w:pPr>
      <w:r>
        <w:rPr>
          <w:rFonts w:hint="eastAsia" w:ascii="Times New Roman" w:hAnsi="Times New Roman" w:eastAsia="黑体" w:cs="黑体"/>
          <w:kern w:val="0"/>
          <w:sz w:val="32"/>
          <w:szCs w:val="32"/>
          <w:highlight w:val="none"/>
          <w:lang w:val="zh-CN"/>
        </w:rPr>
        <w:t>四、财政拨款收支决算总体情况说明</w:t>
      </w:r>
    </w:p>
    <w:p>
      <w:pPr>
        <w:keepNext w:val="0"/>
        <w:keepLines w:val="0"/>
        <w:pageBreakBefore w:val="0"/>
        <w:widowControl w:val="0"/>
        <w:kinsoku/>
        <w:wordWrap/>
        <w:overflowPunct/>
        <w:topLinePunct w:val="0"/>
        <w:autoSpaceDE w:val="0"/>
        <w:autoSpaceDN w:val="0"/>
        <w:bidi w:val="0"/>
        <w:adjustRightInd w:val="0"/>
        <w:snapToGrid/>
        <w:spacing w:line="588" w:lineRule="exact"/>
        <w:ind w:firstLine="640" w:firstLineChars="200"/>
        <w:jc w:val="left"/>
        <w:textAlignment w:val="auto"/>
        <w:rPr>
          <w:rFonts w:hint="eastAsia" w:ascii="宋体" w:hAnsi="宋体" w:eastAsia="方正仿宋简体" w:cs="仿宋_GB2312"/>
          <w:sz w:val="32"/>
          <w:szCs w:val="32"/>
          <w:highlight w:val="none"/>
          <w:lang w:val="zh-CN" w:eastAsia="zh-CN"/>
        </w:rPr>
      </w:pPr>
      <w:r>
        <w:rPr>
          <w:rFonts w:hint="eastAsia" w:ascii="宋体" w:hAnsi="宋体" w:eastAsia="方正仿宋简体" w:cs="仿宋_GB2312"/>
          <w:sz w:val="32"/>
          <w:szCs w:val="32"/>
          <w:highlight w:val="none"/>
          <w:lang w:val="zh-CN" w:eastAsia="zh-CN"/>
        </w:rPr>
        <w:t>共青团天津市委员会综合服务中心2023年度财政拨款收入、支出决算总计5,766,833.55元，与2022年度相比，财政拨款收、支总计各</w:t>
      </w:r>
      <w:r>
        <w:rPr>
          <w:rFonts w:hint="eastAsia" w:ascii="宋体" w:hAnsi="宋体" w:eastAsia="方正仿宋简体" w:cs="仿宋_GB2312"/>
          <w:sz w:val="32"/>
          <w:szCs w:val="32"/>
          <w:highlight w:val="none"/>
          <w:lang w:val="en-US" w:eastAsia="zh-CN"/>
        </w:rPr>
        <w:t>增加</w:t>
      </w:r>
      <w:r>
        <w:rPr>
          <w:rFonts w:hint="eastAsia" w:ascii="宋体" w:hAnsi="宋体" w:eastAsia="方正仿宋简体" w:cs="仿宋_GB2312"/>
          <w:sz w:val="32"/>
          <w:szCs w:val="32"/>
          <w:highlight w:val="none"/>
          <w:lang w:val="zh-CN" w:eastAsia="zh-CN"/>
        </w:rPr>
        <w:t>80,971.57元，</w:t>
      </w:r>
      <w:r>
        <w:rPr>
          <w:rFonts w:hint="eastAsia" w:ascii="宋体" w:hAnsi="宋体" w:eastAsia="方正仿宋简体" w:cs="仿宋_GB2312"/>
          <w:sz w:val="32"/>
          <w:szCs w:val="32"/>
          <w:highlight w:val="none"/>
          <w:lang w:val="en-US" w:eastAsia="zh-CN"/>
        </w:rPr>
        <w:t>增长</w:t>
      </w:r>
      <w:r>
        <w:rPr>
          <w:rFonts w:hint="eastAsia" w:ascii="宋体" w:hAnsi="宋体" w:eastAsia="方正仿宋简体" w:cs="仿宋_GB2312"/>
          <w:sz w:val="32"/>
          <w:szCs w:val="32"/>
          <w:highlight w:val="none"/>
          <w:lang w:val="zh-CN" w:eastAsia="zh-CN"/>
        </w:rPr>
        <w:t>1.42%，主要原因是：人员工资、社保、公积金增加，有一名退休人员死亡。</w:t>
      </w:r>
    </w:p>
    <w:p>
      <w:pPr>
        <w:keepNext/>
        <w:keepLines/>
        <w:pageBreakBefore w:val="0"/>
        <w:widowControl w:val="0"/>
        <w:kinsoku/>
        <w:wordWrap/>
        <w:overflowPunct/>
        <w:topLinePunct w:val="0"/>
        <w:autoSpaceDE w:val="0"/>
        <w:autoSpaceDN w:val="0"/>
        <w:bidi w:val="0"/>
        <w:adjustRightInd w:val="0"/>
        <w:snapToGrid/>
        <w:spacing w:line="588" w:lineRule="exact"/>
        <w:ind w:firstLine="640" w:firstLineChars="200"/>
        <w:jc w:val="left"/>
        <w:textAlignment w:val="auto"/>
        <w:outlineLvl w:val="1"/>
        <w:rPr>
          <w:rFonts w:hint="eastAsia" w:ascii="Times New Roman" w:hAnsi="Times New Roman" w:eastAsia="黑体" w:cs="黑体"/>
          <w:b w:val="0"/>
          <w:bCs w:val="0"/>
          <w:kern w:val="0"/>
          <w:sz w:val="32"/>
          <w:szCs w:val="32"/>
          <w:highlight w:val="none"/>
          <w:lang w:val="zh-CN"/>
        </w:rPr>
      </w:pPr>
      <w:r>
        <w:rPr>
          <w:rFonts w:hint="eastAsia" w:ascii="Times New Roman" w:hAnsi="Times New Roman" w:eastAsia="黑体" w:cs="黑体"/>
          <w:b w:val="0"/>
          <w:bCs w:val="0"/>
          <w:kern w:val="0"/>
          <w:sz w:val="32"/>
          <w:szCs w:val="32"/>
          <w:highlight w:val="none"/>
          <w:lang w:val="zh-CN"/>
        </w:rPr>
        <w:t>五、一般公共预算财政拨款支出决算情况说明</w:t>
      </w:r>
    </w:p>
    <w:p>
      <w:pPr>
        <w:keepNext w:val="0"/>
        <w:keepLines w:val="0"/>
        <w:pageBreakBefore w:val="0"/>
        <w:widowControl w:val="0"/>
        <w:kinsoku/>
        <w:wordWrap/>
        <w:overflowPunct/>
        <w:topLinePunct w:val="0"/>
        <w:autoSpaceDE w:val="0"/>
        <w:autoSpaceDN w:val="0"/>
        <w:bidi w:val="0"/>
        <w:adjustRightInd w:val="0"/>
        <w:snapToGrid/>
        <w:spacing w:line="588" w:lineRule="exact"/>
        <w:ind w:left="0" w:firstLine="640" w:firstLineChars="200"/>
        <w:jc w:val="left"/>
        <w:textAlignment w:val="auto"/>
        <w:rPr>
          <w:rFonts w:hint="eastAsia" w:ascii="Times New Roman" w:hAnsi="Times New Roman" w:eastAsia="楷体" w:cs="楷体"/>
          <w:b w:val="0"/>
          <w:bCs w:val="0"/>
          <w:kern w:val="0"/>
          <w:sz w:val="32"/>
          <w:szCs w:val="32"/>
          <w:highlight w:val="none"/>
        </w:rPr>
      </w:pPr>
      <w:r>
        <w:rPr>
          <w:rFonts w:hint="eastAsia" w:ascii="Times New Roman" w:hAnsi="Times New Roman" w:eastAsia="楷体" w:cs="楷体"/>
          <w:b w:val="0"/>
          <w:bCs w:val="0"/>
          <w:kern w:val="0"/>
          <w:sz w:val="32"/>
          <w:szCs w:val="32"/>
          <w:highlight w:val="none"/>
        </w:rPr>
        <w:t>（一）总体情况</w:t>
      </w:r>
    </w:p>
    <w:p>
      <w:pPr>
        <w:keepNext w:val="0"/>
        <w:keepLines w:val="0"/>
        <w:pageBreakBefore w:val="0"/>
        <w:widowControl w:val="0"/>
        <w:kinsoku/>
        <w:wordWrap/>
        <w:overflowPunct/>
        <w:topLinePunct w:val="0"/>
        <w:autoSpaceDE w:val="0"/>
        <w:autoSpaceDN w:val="0"/>
        <w:bidi w:val="0"/>
        <w:adjustRightInd w:val="0"/>
        <w:snapToGrid/>
        <w:spacing w:line="588" w:lineRule="exact"/>
        <w:ind w:firstLine="640" w:firstLineChars="200"/>
        <w:jc w:val="left"/>
        <w:textAlignment w:val="auto"/>
        <w:rPr>
          <w:rFonts w:hint="eastAsia" w:ascii="宋体" w:hAnsi="宋体" w:eastAsia="方正仿宋简体" w:cs="仿宋_GB2312"/>
          <w:sz w:val="32"/>
          <w:szCs w:val="32"/>
          <w:highlight w:val="none"/>
          <w:lang w:val="zh-CN" w:eastAsia="zh-CN"/>
        </w:rPr>
      </w:pPr>
      <w:r>
        <w:rPr>
          <w:rFonts w:hint="eastAsia" w:ascii="宋体" w:hAnsi="宋体" w:eastAsia="方正仿宋简体" w:cs="仿宋_GB2312"/>
          <w:sz w:val="32"/>
          <w:szCs w:val="32"/>
          <w:highlight w:val="none"/>
          <w:lang w:val="zh-CN" w:eastAsia="zh-CN"/>
        </w:rPr>
        <w:t>共青团天津市委员会综合服务中心2023年度部门决算一般公共预算财政拨款支出合计5,766,833.55元，占本年支出合计的100.0%，与2022年度相比，一般公共预算财政拨款支出</w:t>
      </w:r>
      <w:r>
        <w:rPr>
          <w:rFonts w:hint="eastAsia" w:ascii="宋体" w:hAnsi="宋体" w:eastAsia="方正仿宋简体" w:cs="仿宋_GB2312"/>
          <w:sz w:val="32"/>
          <w:szCs w:val="32"/>
          <w:highlight w:val="none"/>
          <w:lang w:val="en-US" w:eastAsia="zh-CN"/>
        </w:rPr>
        <w:t>增加</w:t>
      </w:r>
      <w:r>
        <w:rPr>
          <w:rFonts w:hint="eastAsia" w:ascii="宋体" w:hAnsi="宋体" w:eastAsia="方正仿宋简体" w:cs="仿宋_GB2312"/>
          <w:sz w:val="32"/>
          <w:szCs w:val="32"/>
          <w:highlight w:val="none"/>
          <w:lang w:val="zh-CN" w:eastAsia="zh-CN"/>
        </w:rPr>
        <w:t>80,971.57元，</w:t>
      </w:r>
      <w:r>
        <w:rPr>
          <w:rFonts w:hint="eastAsia" w:ascii="宋体" w:hAnsi="宋体" w:eastAsia="方正仿宋简体" w:cs="仿宋_GB2312"/>
          <w:sz w:val="32"/>
          <w:szCs w:val="32"/>
          <w:highlight w:val="none"/>
          <w:lang w:val="en-US" w:eastAsia="zh-CN"/>
        </w:rPr>
        <w:t>增长</w:t>
      </w:r>
      <w:r>
        <w:rPr>
          <w:rFonts w:hint="eastAsia" w:ascii="宋体" w:hAnsi="宋体" w:eastAsia="方正仿宋简体" w:cs="仿宋_GB2312"/>
          <w:sz w:val="32"/>
          <w:szCs w:val="32"/>
          <w:highlight w:val="none"/>
          <w:lang w:val="zh-CN" w:eastAsia="zh-CN"/>
        </w:rPr>
        <w:t>1.42%，主要原因是：人员工资、社保、公积金增加，有一名退休人员死亡。</w:t>
      </w:r>
    </w:p>
    <w:p>
      <w:pPr>
        <w:keepNext w:val="0"/>
        <w:keepLines w:val="0"/>
        <w:pageBreakBefore w:val="0"/>
        <w:widowControl w:val="0"/>
        <w:kinsoku/>
        <w:wordWrap/>
        <w:overflowPunct/>
        <w:topLinePunct w:val="0"/>
        <w:autoSpaceDE w:val="0"/>
        <w:autoSpaceDN w:val="0"/>
        <w:bidi w:val="0"/>
        <w:adjustRightInd w:val="0"/>
        <w:snapToGrid/>
        <w:spacing w:line="588" w:lineRule="exact"/>
        <w:ind w:left="0" w:firstLine="640" w:firstLineChars="200"/>
        <w:jc w:val="left"/>
        <w:textAlignment w:val="auto"/>
        <w:rPr>
          <w:rFonts w:hint="eastAsia" w:ascii="Times New Roman" w:hAnsi="Times New Roman" w:eastAsia="楷体" w:cs="楷体"/>
          <w:b/>
          <w:bCs/>
          <w:kern w:val="0"/>
          <w:sz w:val="32"/>
          <w:szCs w:val="32"/>
          <w:highlight w:val="none"/>
        </w:rPr>
      </w:pPr>
      <w:r>
        <w:rPr>
          <w:rFonts w:hint="eastAsia" w:ascii="Times New Roman" w:hAnsi="Times New Roman" w:eastAsia="楷体" w:cs="楷体"/>
          <w:b w:val="0"/>
          <w:bCs w:val="0"/>
          <w:kern w:val="0"/>
          <w:sz w:val="32"/>
          <w:szCs w:val="32"/>
          <w:highlight w:val="none"/>
        </w:rPr>
        <w:t>（二）</w:t>
      </w:r>
      <w:r>
        <w:rPr>
          <w:rFonts w:hint="eastAsia" w:ascii="Times New Roman" w:hAnsi="Times New Roman" w:eastAsia="楷体" w:cs="楷体"/>
          <w:b w:val="0"/>
          <w:bCs w:val="0"/>
          <w:kern w:val="0"/>
          <w:sz w:val="32"/>
          <w:szCs w:val="32"/>
          <w:highlight w:val="none"/>
          <w:lang w:val="zh-CN"/>
        </w:rPr>
        <w:t>支出结构</w:t>
      </w:r>
      <w:r>
        <w:rPr>
          <w:rFonts w:hint="eastAsia" w:ascii="Times New Roman" w:hAnsi="Times New Roman" w:eastAsia="楷体" w:cs="楷体"/>
          <w:b w:val="0"/>
          <w:bCs w:val="0"/>
          <w:kern w:val="0"/>
          <w:sz w:val="32"/>
          <w:szCs w:val="32"/>
          <w:highlight w:val="none"/>
        </w:rPr>
        <w:t>情况</w:t>
      </w:r>
    </w:p>
    <w:p>
      <w:pPr>
        <w:keepNext w:val="0"/>
        <w:keepLines w:val="0"/>
        <w:pageBreakBefore w:val="0"/>
        <w:widowControl w:val="0"/>
        <w:kinsoku/>
        <w:wordWrap/>
        <w:overflowPunct/>
        <w:topLinePunct w:val="0"/>
        <w:autoSpaceDE w:val="0"/>
        <w:autoSpaceDN w:val="0"/>
        <w:bidi w:val="0"/>
        <w:adjustRightInd w:val="0"/>
        <w:snapToGrid/>
        <w:spacing w:line="588" w:lineRule="exact"/>
        <w:ind w:firstLine="640" w:firstLineChars="200"/>
        <w:jc w:val="left"/>
        <w:textAlignment w:val="auto"/>
        <w:rPr>
          <w:rFonts w:hint="eastAsia" w:ascii="宋体" w:hAnsi="宋体" w:eastAsia="方正仿宋简体" w:cs="仿宋_GB2312"/>
          <w:sz w:val="32"/>
          <w:szCs w:val="32"/>
          <w:highlight w:val="none"/>
          <w:lang w:val="zh-CN" w:eastAsia="zh-CN"/>
        </w:rPr>
      </w:pPr>
      <w:r>
        <w:rPr>
          <w:rFonts w:hint="eastAsia" w:ascii="宋体" w:hAnsi="宋体" w:eastAsia="方正仿宋简体" w:cs="仿宋_GB2312"/>
          <w:sz w:val="32"/>
          <w:szCs w:val="32"/>
          <w:highlight w:val="none"/>
          <w:lang w:val="zh-CN" w:eastAsia="zh-CN"/>
        </w:rPr>
        <w:t>2023年度一般公共预算财政拨款支出5,766,833.55元，主要用于以下方面：一般公共服务支出（类）4,881,833.55元，占84.65%；社会保障和就业支出（类）569,000.00元，占9.87%；卫生健康支出（类）316,000.00元，占5.48% 。</w:t>
      </w:r>
    </w:p>
    <w:p>
      <w:pPr>
        <w:keepNext w:val="0"/>
        <w:keepLines w:val="0"/>
        <w:pageBreakBefore w:val="0"/>
        <w:widowControl w:val="0"/>
        <w:kinsoku/>
        <w:wordWrap/>
        <w:overflowPunct/>
        <w:topLinePunct w:val="0"/>
        <w:autoSpaceDE w:val="0"/>
        <w:autoSpaceDN w:val="0"/>
        <w:bidi w:val="0"/>
        <w:adjustRightInd w:val="0"/>
        <w:snapToGrid/>
        <w:spacing w:line="588" w:lineRule="exact"/>
        <w:ind w:left="0" w:firstLine="640" w:firstLineChars="200"/>
        <w:jc w:val="left"/>
        <w:textAlignment w:val="auto"/>
        <w:rPr>
          <w:rFonts w:hint="eastAsia" w:ascii="Times New Roman" w:hAnsi="Times New Roman" w:eastAsia="楷体" w:cs="楷体"/>
          <w:b w:val="0"/>
          <w:bCs w:val="0"/>
          <w:kern w:val="0"/>
          <w:sz w:val="32"/>
          <w:szCs w:val="32"/>
          <w:highlight w:val="none"/>
        </w:rPr>
      </w:pPr>
      <w:r>
        <w:rPr>
          <w:rFonts w:hint="eastAsia" w:ascii="Times New Roman" w:hAnsi="Times New Roman" w:eastAsia="楷体" w:cs="楷体"/>
          <w:b w:val="0"/>
          <w:bCs w:val="0"/>
          <w:kern w:val="0"/>
          <w:sz w:val="32"/>
          <w:szCs w:val="32"/>
          <w:highlight w:val="none"/>
        </w:rPr>
        <w:t>（三）具体情况</w:t>
      </w:r>
    </w:p>
    <w:p>
      <w:pPr>
        <w:keepNext w:val="0"/>
        <w:keepLines w:val="0"/>
        <w:pageBreakBefore w:val="0"/>
        <w:widowControl w:val="0"/>
        <w:kinsoku/>
        <w:wordWrap/>
        <w:overflowPunct/>
        <w:topLinePunct w:val="0"/>
        <w:autoSpaceDE w:val="0"/>
        <w:autoSpaceDN w:val="0"/>
        <w:bidi w:val="0"/>
        <w:adjustRightInd w:val="0"/>
        <w:snapToGrid/>
        <w:spacing w:line="588" w:lineRule="exact"/>
        <w:ind w:firstLine="640" w:firstLineChars="200"/>
        <w:jc w:val="left"/>
        <w:textAlignment w:val="auto"/>
        <w:rPr>
          <w:rFonts w:hint="eastAsia" w:ascii="宋体" w:hAnsi="宋体" w:eastAsia="方正仿宋简体" w:cs="仿宋_GB2312"/>
          <w:sz w:val="32"/>
          <w:szCs w:val="32"/>
          <w:highlight w:val="none"/>
          <w:lang w:val="zh-CN" w:eastAsia="zh-CN"/>
        </w:rPr>
      </w:pPr>
      <w:r>
        <w:rPr>
          <w:rFonts w:hint="eastAsia" w:ascii="宋体" w:hAnsi="宋体" w:eastAsia="方正仿宋简体" w:cs="仿宋_GB2312"/>
          <w:sz w:val="32"/>
          <w:szCs w:val="32"/>
          <w:highlight w:val="none"/>
          <w:lang w:val="zh-CN" w:eastAsia="zh-CN"/>
        </w:rPr>
        <w:t>2023年度一般公共预算财政拨款支出年初预算为5,801,000.00元，支出决算为5,766,833.55元，完成年初预算的99.41%。其中：</w:t>
      </w:r>
    </w:p>
    <w:p>
      <w:pPr>
        <w:keepNext w:val="0"/>
        <w:keepLines w:val="0"/>
        <w:pageBreakBefore w:val="0"/>
        <w:widowControl w:val="0"/>
        <w:kinsoku/>
        <w:wordWrap/>
        <w:overflowPunct/>
        <w:topLinePunct w:val="0"/>
        <w:autoSpaceDE w:val="0"/>
        <w:autoSpaceDN w:val="0"/>
        <w:bidi w:val="0"/>
        <w:adjustRightInd w:val="0"/>
        <w:snapToGrid/>
        <w:spacing w:line="588" w:lineRule="exact"/>
        <w:ind w:firstLine="640" w:firstLineChars="200"/>
        <w:jc w:val="left"/>
        <w:textAlignment w:val="auto"/>
        <w:rPr>
          <w:rFonts w:hint="eastAsia" w:ascii="宋体" w:hAnsi="宋体" w:eastAsia="方正仿宋简体" w:cs="仿宋_GB2312"/>
          <w:sz w:val="32"/>
          <w:szCs w:val="32"/>
          <w:highlight w:val="none"/>
          <w:lang w:val="zh-CN" w:eastAsia="zh-CN"/>
        </w:rPr>
      </w:pPr>
      <w:r>
        <w:rPr>
          <w:rFonts w:hint="eastAsia" w:ascii="宋体" w:hAnsi="宋体" w:eastAsia="方正仿宋简体" w:cs="仿宋_GB2312"/>
          <w:sz w:val="32"/>
          <w:szCs w:val="32"/>
          <w:highlight w:val="none"/>
          <w:lang w:val="zh-CN" w:eastAsia="zh-CN"/>
        </w:rPr>
        <w:t>1.一般公共服务支出（类）群众团体事务（款）事业运行（项）年初预算为4,953,000.00元，支出决算为4,842,631.55元，完成年初预算的97.77%，决算数小于年初预算数的主要原因是牢固树立过紧日子思想，大力压减开支。</w:t>
      </w:r>
    </w:p>
    <w:p>
      <w:pPr>
        <w:keepNext w:val="0"/>
        <w:keepLines w:val="0"/>
        <w:pageBreakBefore w:val="0"/>
        <w:widowControl w:val="0"/>
        <w:kinsoku/>
        <w:wordWrap/>
        <w:overflowPunct/>
        <w:topLinePunct w:val="0"/>
        <w:autoSpaceDE w:val="0"/>
        <w:autoSpaceDN w:val="0"/>
        <w:bidi w:val="0"/>
        <w:adjustRightInd w:val="0"/>
        <w:snapToGrid/>
        <w:spacing w:line="588" w:lineRule="exact"/>
        <w:ind w:firstLine="640" w:firstLineChars="200"/>
        <w:jc w:val="left"/>
        <w:textAlignment w:val="auto"/>
        <w:rPr>
          <w:rFonts w:hint="eastAsia" w:ascii="宋体" w:hAnsi="宋体" w:eastAsia="方正仿宋简体" w:cs="仿宋_GB2312"/>
          <w:sz w:val="32"/>
          <w:szCs w:val="32"/>
          <w:highlight w:val="none"/>
          <w:lang w:val="zh-CN" w:eastAsia="zh-CN"/>
        </w:rPr>
      </w:pPr>
      <w:r>
        <w:rPr>
          <w:rFonts w:hint="eastAsia" w:ascii="宋体" w:hAnsi="宋体" w:eastAsia="方正仿宋简体" w:cs="仿宋_GB2312"/>
          <w:sz w:val="32"/>
          <w:szCs w:val="32"/>
          <w:highlight w:val="none"/>
          <w:lang w:val="zh-CN" w:eastAsia="zh-CN"/>
        </w:rPr>
        <w:t>2.一般公共服务支出（类）群众团体事务（款）其他群众团体事务支出（项）年初预算为0元，支出决算为39,202.00元，决算数大于年初预算数的主要原因是有一名退休人员死亡。</w:t>
      </w:r>
    </w:p>
    <w:p>
      <w:pPr>
        <w:keepNext w:val="0"/>
        <w:keepLines w:val="0"/>
        <w:pageBreakBefore w:val="0"/>
        <w:widowControl w:val="0"/>
        <w:kinsoku/>
        <w:wordWrap/>
        <w:overflowPunct/>
        <w:topLinePunct w:val="0"/>
        <w:autoSpaceDE w:val="0"/>
        <w:autoSpaceDN w:val="0"/>
        <w:bidi w:val="0"/>
        <w:adjustRightInd w:val="0"/>
        <w:snapToGrid/>
        <w:spacing w:line="588" w:lineRule="exact"/>
        <w:ind w:firstLine="640" w:firstLineChars="200"/>
        <w:jc w:val="left"/>
        <w:textAlignment w:val="auto"/>
        <w:rPr>
          <w:rFonts w:hint="eastAsia" w:ascii="宋体" w:hAnsi="宋体" w:eastAsia="方正仿宋简体" w:cs="仿宋_GB2312"/>
          <w:sz w:val="32"/>
          <w:szCs w:val="32"/>
          <w:highlight w:val="none"/>
          <w:lang w:val="zh-CN" w:eastAsia="zh-CN"/>
        </w:rPr>
      </w:pPr>
      <w:r>
        <w:rPr>
          <w:rFonts w:hint="eastAsia" w:ascii="宋体" w:hAnsi="宋体" w:eastAsia="方正仿宋简体" w:cs="仿宋_GB2312"/>
          <w:sz w:val="32"/>
          <w:szCs w:val="32"/>
          <w:highlight w:val="none"/>
          <w:lang w:val="zh-CN" w:eastAsia="zh-CN"/>
        </w:rPr>
        <w:t>3.社会保障和就业支出（类）行政事业单位养老支出（款）机关事业单位基本养老保险缴费支出（项）年初预算为362,000.00元，支出决算为379,000.00元，完成年初预算的104.70%，决算数大于年初预算数的主要原因是人员社保基数增加，缴纳养老保险金额增加。</w:t>
      </w:r>
    </w:p>
    <w:p>
      <w:pPr>
        <w:keepNext w:val="0"/>
        <w:keepLines w:val="0"/>
        <w:pageBreakBefore w:val="0"/>
        <w:widowControl w:val="0"/>
        <w:kinsoku/>
        <w:wordWrap/>
        <w:overflowPunct/>
        <w:topLinePunct w:val="0"/>
        <w:autoSpaceDE w:val="0"/>
        <w:autoSpaceDN w:val="0"/>
        <w:bidi w:val="0"/>
        <w:adjustRightInd w:val="0"/>
        <w:snapToGrid/>
        <w:spacing w:line="588" w:lineRule="exact"/>
        <w:ind w:firstLine="640" w:firstLineChars="200"/>
        <w:jc w:val="left"/>
        <w:textAlignment w:val="auto"/>
        <w:rPr>
          <w:rFonts w:hint="eastAsia" w:ascii="宋体" w:hAnsi="宋体" w:eastAsia="方正仿宋简体" w:cs="仿宋_GB2312"/>
          <w:sz w:val="32"/>
          <w:szCs w:val="32"/>
          <w:highlight w:val="none"/>
          <w:lang w:val="zh-CN" w:eastAsia="zh-CN"/>
        </w:rPr>
      </w:pPr>
      <w:r>
        <w:rPr>
          <w:rFonts w:hint="eastAsia" w:ascii="宋体" w:hAnsi="宋体" w:eastAsia="方正仿宋简体" w:cs="仿宋_GB2312"/>
          <w:sz w:val="32"/>
          <w:szCs w:val="32"/>
          <w:highlight w:val="none"/>
          <w:lang w:val="zh-CN" w:eastAsia="zh-CN"/>
        </w:rPr>
        <w:t>4.社会保障和就业支出（类）行政事业单位养老支出（款）机关事业单位职业年金缴费支出（项）年初预算为181,000.00元，支出决算为190,000.00元，完成年初预算的104.97%，决算数大于年初预算数的主要原因是人员社保基数增加，缴纳年金金额增加。</w:t>
      </w:r>
    </w:p>
    <w:p>
      <w:pPr>
        <w:keepNext w:val="0"/>
        <w:keepLines w:val="0"/>
        <w:pageBreakBefore w:val="0"/>
        <w:widowControl w:val="0"/>
        <w:kinsoku/>
        <w:wordWrap/>
        <w:overflowPunct/>
        <w:topLinePunct w:val="0"/>
        <w:autoSpaceDE w:val="0"/>
        <w:autoSpaceDN w:val="0"/>
        <w:bidi w:val="0"/>
        <w:adjustRightInd w:val="0"/>
        <w:snapToGrid/>
        <w:spacing w:line="588" w:lineRule="exact"/>
        <w:ind w:firstLine="640" w:firstLineChars="200"/>
        <w:jc w:val="left"/>
        <w:textAlignment w:val="auto"/>
        <w:rPr>
          <w:rFonts w:hint="eastAsia" w:ascii="宋体" w:hAnsi="宋体" w:eastAsia="方正仿宋简体" w:cs="仿宋_GB2312"/>
          <w:sz w:val="32"/>
          <w:szCs w:val="32"/>
          <w:highlight w:val="none"/>
          <w:lang w:val="zh-CN" w:eastAsia="zh-CN"/>
        </w:rPr>
      </w:pPr>
      <w:r>
        <w:rPr>
          <w:rFonts w:hint="eastAsia" w:ascii="宋体" w:hAnsi="宋体" w:eastAsia="方正仿宋简体" w:cs="仿宋_GB2312"/>
          <w:sz w:val="32"/>
          <w:szCs w:val="32"/>
          <w:highlight w:val="none"/>
          <w:lang w:val="zh-CN" w:eastAsia="zh-CN"/>
        </w:rPr>
        <w:t>5.卫生健康支出（类）行政事业单位医疗（款）事业单位医疗（项）年初预算为238,000.00元，支出决算为249,000.00元，完成年初预算的104.62%，决算数大于年初预算数的主要原因是人员社保基数增加，缴纳医疗等保险金额增加。</w:t>
      </w:r>
    </w:p>
    <w:p>
      <w:pPr>
        <w:keepNext w:val="0"/>
        <w:keepLines w:val="0"/>
        <w:pageBreakBefore w:val="0"/>
        <w:widowControl w:val="0"/>
        <w:kinsoku/>
        <w:wordWrap/>
        <w:overflowPunct/>
        <w:topLinePunct w:val="0"/>
        <w:autoSpaceDE w:val="0"/>
        <w:autoSpaceDN w:val="0"/>
        <w:bidi w:val="0"/>
        <w:adjustRightInd w:val="0"/>
        <w:snapToGrid/>
        <w:spacing w:line="588" w:lineRule="exact"/>
        <w:ind w:firstLine="640" w:firstLineChars="200"/>
        <w:jc w:val="left"/>
        <w:textAlignment w:val="auto"/>
        <w:rPr>
          <w:rFonts w:hint="eastAsia" w:ascii="宋体" w:hAnsi="宋体" w:eastAsia="方正仿宋简体" w:cs="仿宋_GB2312"/>
          <w:sz w:val="32"/>
          <w:szCs w:val="32"/>
          <w:highlight w:val="none"/>
          <w:lang w:val="zh-CN" w:eastAsia="zh-CN"/>
        </w:rPr>
      </w:pPr>
      <w:r>
        <w:rPr>
          <w:rFonts w:hint="eastAsia" w:ascii="宋体" w:hAnsi="宋体" w:eastAsia="方正仿宋简体" w:cs="仿宋_GB2312"/>
          <w:sz w:val="32"/>
          <w:szCs w:val="32"/>
          <w:highlight w:val="none"/>
          <w:lang w:val="zh-CN" w:eastAsia="zh-CN"/>
        </w:rPr>
        <w:t>6.卫生健康支出（类）行政事业单位医疗（款）其他行政事业单位医疗支出（项）年初预算为67,000.00元，支出决算为67,000.00元，完成年初预算的100% 。</w:t>
      </w:r>
    </w:p>
    <w:p>
      <w:pPr>
        <w:keepNext/>
        <w:keepLines/>
        <w:pageBreakBefore w:val="0"/>
        <w:widowControl w:val="0"/>
        <w:kinsoku/>
        <w:wordWrap/>
        <w:overflowPunct/>
        <w:topLinePunct w:val="0"/>
        <w:autoSpaceDE w:val="0"/>
        <w:autoSpaceDN w:val="0"/>
        <w:bidi w:val="0"/>
        <w:adjustRightInd w:val="0"/>
        <w:snapToGrid/>
        <w:spacing w:line="588" w:lineRule="exact"/>
        <w:ind w:firstLine="640" w:firstLineChars="200"/>
        <w:jc w:val="left"/>
        <w:textAlignment w:val="auto"/>
        <w:outlineLvl w:val="1"/>
        <w:rPr>
          <w:rFonts w:ascii="Times New Roman" w:hAnsi="Times New Roman" w:eastAsia="黑体" w:cs="黑体"/>
          <w:b/>
          <w:bCs/>
          <w:kern w:val="0"/>
          <w:sz w:val="32"/>
          <w:szCs w:val="32"/>
          <w:highlight w:val="none"/>
        </w:rPr>
      </w:pPr>
      <w:r>
        <w:rPr>
          <w:rFonts w:hint="eastAsia" w:ascii="Times New Roman" w:hAnsi="Times New Roman" w:eastAsia="黑体" w:cs="黑体"/>
          <w:b w:val="0"/>
          <w:bCs w:val="0"/>
          <w:kern w:val="0"/>
          <w:sz w:val="32"/>
          <w:szCs w:val="32"/>
          <w:highlight w:val="none"/>
        </w:rPr>
        <w:t>六、一般公共预算财政拨款基本支出决算情况说明</w:t>
      </w:r>
    </w:p>
    <w:p>
      <w:pPr>
        <w:keepNext w:val="0"/>
        <w:keepLines w:val="0"/>
        <w:pageBreakBefore w:val="0"/>
        <w:widowControl w:val="0"/>
        <w:kinsoku/>
        <w:wordWrap/>
        <w:overflowPunct/>
        <w:topLinePunct w:val="0"/>
        <w:autoSpaceDE w:val="0"/>
        <w:autoSpaceDN w:val="0"/>
        <w:bidi w:val="0"/>
        <w:adjustRightInd w:val="0"/>
        <w:snapToGrid/>
        <w:spacing w:line="588" w:lineRule="exact"/>
        <w:ind w:firstLine="640" w:firstLineChars="200"/>
        <w:jc w:val="left"/>
        <w:textAlignment w:val="auto"/>
        <w:rPr>
          <w:rFonts w:hint="eastAsia" w:ascii="宋体" w:hAnsi="宋体" w:eastAsia="方正仿宋简体" w:cs="仿宋_GB2312"/>
          <w:sz w:val="32"/>
          <w:szCs w:val="32"/>
          <w:highlight w:val="none"/>
          <w:lang w:val="zh-CN" w:eastAsia="zh-CN"/>
        </w:rPr>
      </w:pPr>
      <w:r>
        <w:rPr>
          <w:rFonts w:hint="eastAsia" w:ascii="宋体" w:hAnsi="宋体" w:eastAsia="方正仿宋简体" w:cs="仿宋_GB2312"/>
          <w:sz w:val="32"/>
          <w:szCs w:val="32"/>
          <w:highlight w:val="none"/>
          <w:lang w:val="zh-CN" w:eastAsia="zh-CN"/>
        </w:rPr>
        <w:t>共青团天津市委员会综合服务中心2023年度部门决算一般公共预算财政拨款基本支出合计5,727,631.55元，与2022年度相比</w:t>
      </w:r>
      <w:r>
        <w:rPr>
          <w:rFonts w:hint="eastAsia" w:ascii="宋体" w:hAnsi="宋体" w:eastAsia="方正仿宋简体" w:cs="仿宋_GB2312"/>
          <w:sz w:val="32"/>
          <w:szCs w:val="32"/>
          <w:highlight w:val="none"/>
          <w:lang w:val="en-US" w:eastAsia="zh-CN"/>
        </w:rPr>
        <w:t>增加</w:t>
      </w:r>
      <w:r>
        <w:rPr>
          <w:rFonts w:hint="eastAsia" w:ascii="宋体" w:hAnsi="宋体" w:eastAsia="方正仿宋简体" w:cs="仿宋_GB2312"/>
          <w:sz w:val="32"/>
          <w:szCs w:val="32"/>
          <w:highlight w:val="none"/>
          <w:lang w:val="zh-CN" w:eastAsia="zh-CN"/>
        </w:rPr>
        <w:t>41,769.57元，主要原因是：人员工资、社保、公积金增加。其中：</w:t>
      </w:r>
    </w:p>
    <w:p>
      <w:pPr>
        <w:keepNext w:val="0"/>
        <w:keepLines w:val="0"/>
        <w:pageBreakBefore w:val="0"/>
        <w:widowControl w:val="0"/>
        <w:kinsoku/>
        <w:wordWrap/>
        <w:overflowPunct/>
        <w:topLinePunct w:val="0"/>
        <w:autoSpaceDE w:val="0"/>
        <w:autoSpaceDN w:val="0"/>
        <w:bidi w:val="0"/>
        <w:adjustRightInd w:val="0"/>
        <w:snapToGrid/>
        <w:spacing w:line="588" w:lineRule="exact"/>
        <w:ind w:firstLine="640" w:firstLineChars="200"/>
        <w:jc w:val="left"/>
        <w:textAlignment w:val="auto"/>
        <w:rPr>
          <w:rFonts w:hint="eastAsia" w:ascii="宋体" w:hAnsi="宋体" w:eastAsia="方正仿宋简体" w:cs="仿宋_GB2312"/>
          <w:sz w:val="32"/>
          <w:szCs w:val="32"/>
          <w:highlight w:val="none"/>
          <w:lang w:val="zh-CN" w:eastAsia="zh-CN"/>
        </w:rPr>
      </w:pPr>
      <w:r>
        <w:rPr>
          <w:rFonts w:hint="eastAsia" w:ascii="宋体" w:hAnsi="宋体" w:eastAsia="方正仿宋简体" w:cs="仿宋_GB2312"/>
          <w:sz w:val="32"/>
          <w:szCs w:val="32"/>
          <w:highlight w:val="none"/>
          <w:lang w:val="zh-CN" w:eastAsia="zh-CN"/>
        </w:rPr>
        <w:t>人员经费5,052,419.30元，主要包括工资福利支出4,957,419.30元，其中基本工资1,004,922.79元，津贴补贴481,000.00元，绩效工资1,202,000.00元，机关事业单位基本养老保险缴费379,000.00元，职业年金190,000.00元，职工基本医疗保险缴费249,000.00元，其他社会保障缴费18,000.00元，住房公积金1,225,000.00元，医疗费29,000.00元，其他工资福利支出179,496.51元。对个人和家庭的补助共计95,000.00元，其中退休费57,000.00元，医疗费补助38,000.00元。</w:t>
      </w:r>
    </w:p>
    <w:p>
      <w:pPr>
        <w:keepNext w:val="0"/>
        <w:keepLines w:val="0"/>
        <w:pageBreakBefore w:val="0"/>
        <w:widowControl w:val="0"/>
        <w:kinsoku/>
        <w:wordWrap/>
        <w:overflowPunct/>
        <w:topLinePunct w:val="0"/>
        <w:autoSpaceDE w:val="0"/>
        <w:autoSpaceDN w:val="0"/>
        <w:bidi w:val="0"/>
        <w:adjustRightInd w:val="0"/>
        <w:snapToGrid/>
        <w:spacing w:line="588" w:lineRule="exact"/>
        <w:ind w:firstLine="640" w:firstLineChars="200"/>
        <w:jc w:val="left"/>
        <w:textAlignment w:val="auto"/>
        <w:rPr>
          <w:rFonts w:hint="eastAsia" w:ascii="宋体" w:hAnsi="宋体" w:eastAsia="方正仿宋简体" w:cs="仿宋_GB2312"/>
          <w:sz w:val="32"/>
          <w:szCs w:val="32"/>
          <w:highlight w:val="none"/>
          <w:lang w:val="zh-CN" w:eastAsia="zh-CN"/>
        </w:rPr>
      </w:pPr>
      <w:r>
        <w:rPr>
          <w:rFonts w:hint="eastAsia" w:ascii="宋体" w:hAnsi="宋体" w:eastAsia="方正仿宋简体" w:cs="仿宋_GB2312"/>
          <w:sz w:val="32"/>
          <w:szCs w:val="32"/>
          <w:highlight w:val="none"/>
          <w:lang w:val="zh-CN" w:eastAsia="zh-CN"/>
        </w:rPr>
        <w:t>公用经费675,212.25元，主要包括商品和服务支出共计675,212.25元，其中办公费155,783.07元，印刷费5,000.00元，手续费557.00元，水费10,000.00元，电费30,000.00元，邮电费29,666.67元，物业管理费180,000.00元，差旅费24,931.50元，维修（护）费35,000.00元，培训费9,360.00元，委托业务费10,000.00元，工会经费46,000.00元，福利费57,500.00元，其他交通费用44,920.00元，税金及附加费用36,494.01元。</w:t>
      </w:r>
    </w:p>
    <w:p>
      <w:pPr>
        <w:keepNext/>
        <w:keepLines/>
        <w:pageBreakBefore w:val="0"/>
        <w:widowControl w:val="0"/>
        <w:kinsoku/>
        <w:wordWrap/>
        <w:overflowPunct/>
        <w:topLinePunct w:val="0"/>
        <w:autoSpaceDE w:val="0"/>
        <w:autoSpaceDN w:val="0"/>
        <w:bidi w:val="0"/>
        <w:adjustRightInd w:val="0"/>
        <w:snapToGrid/>
        <w:spacing w:line="588" w:lineRule="exact"/>
        <w:ind w:firstLine="640" w:firstLineChars="200"/>
        <w:jc w:val="left"/>
        <w:textAlignment w:val="auto"/>
        <w:outlineLvl w:val="1"/>
        <w:rPr>
          <w:rFonts w:hint="eastAsia" w:ascii="Times New Roman" w:hAnsi="Times New Roman" w:eastAsia="黑体" w:cs="黑体"/>
          <w:b w:val="0"/>
          <w:bCs w:val="0"/>
          <w:kern w:val="0"/>
          <w:sz w:val="32"/>
          <w:szCs w:val="32"/>
          <w:highlight w:val="none"/>
        </w:rPr>
      </w:pPr>
      <w:r>
        <w:rPr>
          <w:rFonts w:hint="eastAsia" w:ascii="Times New Roman" w:hAnsi="Times New Roman" w:eastAsia="黑体" w:cs="黑体"/>
          <w:b w:val="0"/>
          <w:bCs w:val="0"/>
          <w:kern w:val="0"/>
          <w:sz w:val="32"/>
          <w:szCs w:val="32"/>
          <w:highlight w:val="none"/>
        </w:rPr>
        <w:t>七、政府性基金预算财政拨款收支决算情况</w:t>
      </w:r>
    </w:p>
    <w:p>
      <w:pPr>
        <w:keepNext w:val="0"/>
        <w:keepLines w:val="0"/>
        <w:pageBreakBefore w:val="0"/>
        <w:widowControl w:val="0"/>
        <w:kinsoku/>
        <w:wordWrap/>
        <w:overflowPunct/>
        <w:topLinePunct w:val="0"/>
        <w:autoSpaceDE w:val="0"/>
        <w:autoSpaceDN w:val="0"/>
        <w:bidi w:val="0"/>
        <w:adjustRightInd w:val="0"/>
        <w:snapToGrid/>
        <w:spacing w:line="588" w:lineRule="exact"/>
        <w:ind w:firstLine="640" w:firstLineChars="200"/>
        <w:jc w:val="left"/>
        <w:textAlignment w:val="auto"/>
        <w:rPr>
          <w:rFonts w:hint="default" w:ascii="宋体" w:hAnsi="宋体" w:eastAsia="方正仿宋简体" w:cs="仿宋_GB2312"/>
          <w:sz w:val="32"/>
          <w:szCs w:val="32"/>
          <w:highlight w:val="none"/>
          <w:lang w:val="en-US" w:eastAsia="zh-CN"/>
        </w:rPr>
      </w:pPr>
      <w:r>
        <w:rPr>
          <w:rFonts w:hint="eastAsia" w:ascii="宋体" w:hAnsi="宋体" w:eastAsia="方正仿宋简体" w:cs="仿宋_GB2312"/>
          <w:sz w:val="32"/>
          <w:szCs w:val="32"/>
          <w:highlight w:val="none"/>
          <w:lang w:val="zh-CN" w:eastAsia="zh-CN"/>
        </w:rPr>
        <w:t>共青团天津市委员会综合服务中心2023年度部门决算政府性基金预算财政拨款年初结转和结余0.00元，收入0.00元，支出0.00元，年末结转和结余0.00元。与2022年度相比，政府性基金财政拨款支出</w:t>
      </w:r>
      <w:r>
        <w:rPr>
          <w:rFonts w:hint="eastAsia" w:ascii="宋体" w:hAnsi="宋体" w:eastAsia="方正仿宋简体" w:cs="仿宋_GB2312"/>
          <w:sz w:val="32"/>
          <w:szCs w:val="32"/>
          <w:highlight w:val="none"/>
          <w:lang w:val="en-US" w:eastAsia="zh-CN"/>
        </w:rPr>
        <w:t>持平</w:t>
      </w:r>
      <w:r>
        <w:rPr>
          <w:rFonts w:hint="eastAsia" w:ascii="宋体" w:hAnsi="宋体" w:eastAsia="方正仿宋简体" w:cs="仿宋_GB2312"/>
          <w:sz w:val="32"/>
          <w:szCs w:val="32"/>
          <w:highlight w:val="none"/>
          <w:lang w:val="zh-CN" w:eastAsia="zh-CN"/>
        </w:rPr>
        <w:t>0.00元，</w:t>
      </w:r>
      <w:r>
        <w:rPr>
          <w:rFonts w:hint="eastAsia" w:ascii="宋体" w:hAnsi="宋体" w:eastAsia="方正仿宋简体" w:cs="仿宋_GB2312"/>
          <w:sz w:val="32"/>
          <w:szCs w:val="32"/>
          <w:highlight w:val="none"/>
          <w:lang w:val="en-US" w:eastAsia="zh-CN"/>
        </w:rPr>
        <w:t>持平</w:t>
      </w:r>
      <w:r>
        <w:rPr>
          <w:rFonts w:hint="eastAsia" w:ascii="宋体" w:hAnsi="宋体" w:eastAsia="方正仿宋简体" w:cs="仿宋_GB2312"/>
          <w:sz w:val="32"/>
          <w:szCs w:val="32"/>
          <w:highlight w:val="none"/>
          <w:lang w:val="zh-CN" w:eastAsia="zh-CN"/>
        </w:rPr>
        <w:t>0.0%，主要原因是：共青团天津市委员会综合服务中心2023年度无政府性基金预算财政拨款收入、支出和结转结余。</w:t>
      </w:r>
      <w:r>
        <w:rPr>
          <w:rFonts w:hint="eastAsia" w:ascii="宋体" w:hAnsi="宋体" w:eastAsia="方正仿宋简体" w:cs="仿宋_GB2312"/>
          <w:sz w:val="32"/>
          <w:szCs w:val="32"/>
          <w:highlight w:val="none"/>
          <w:lang w:val="en-US" w:eastAsia="zh-CN"/>
        </w:rPr>
        <w:tab/>
      </w:r>
    </w:p>
    <w:p>
      <w:pPr>
        <w:keepNext/>
        <w:keepLines/>
        <w:pageBreakBefore w:val="0"/>
        <w:widowControl w:val="0"/>
        <w:kinsoku/>
        <w:wordWrap/>
        <w:overflowPunct/>
        <w:topLinePunct w:val="0"/>
        <w:autoSpaceDE w:val="0"/>
        <w:autoSpaceDN w:val="0"/>
        <w:bidi w:val="0"/>
        <w:adjustRightInd w:val="0"/>
        <w:snapToGrid/>
        <w:spacing w:line="588" w:lineRule="exact"/>
        <w:ind w:firstLine="640" w:firstLineChars="200"/>
        <w:jc w:val="left"/>
        <w:textAlignment w:val="auto"/>
        <w:outlineLvl w:val="1"/>
        <w:rPr>
          <w:rFonts w:hint="eastAsia" w:ascii="Times New Roman" w:hAnsi="Times New Roman" w:eastAsia="黑体" w:cs="黑体"/>
          <w:b w:val="0"/>
          <w:bCs w:val="0"/>
          <w:kern w:val="0"/>
          <w:sz w:val="32"/>
          <w:szCs w:val="32"/>
          <w:highlight w:val="none"/>
        </w:rPr>
      </w:pPr>
      <w:r>
        <w:rPr>
          <w:rFonts w:hint="eastAsia" w:ascii="Times New Roman" w:hAnsi="Times New Roman" w:eastAsia="黑体" w:cs="黑体"/>
          <w:b w:val="0"/>
          <w:bCs w:val="0"/>
          <w:kern w:val="0"/>
          <w:sz w:val="32"/>
          <w:szCs w:val="32"/>
          <w:highlight w:val="none"/>
        </w:rPr>
        <w:t>八、国有资本经营预算财政拨款收支决算情况说明</w:t>
      </w:r>
    </w:p>
    <w:p>
      <w:pPr>
        <w:keepNext w:val="0"/>
        <w:keepLines w:val="0"/>
        <w:pageBreakBefore w:val="0"/>
        <w:widowControl w:val="0"/>
        <w:kinsoku/>
        <w:wordWrap/>
        <w:overflowPunct/>
        <w:topLinePunct w:val="0"/>
        <w:autoSpaceDE w:val="0"/>
        <w:autoSpaceDN w:val="0"/>
        <w:bidi w:val="0"/>
        <w:adjustRightInd w:val="0"/>
        <w:snapToGrid/>
        <w:spacing w:line="588" w:lineRule="exact"/>
        <w:ind w:firstLine="640" w:firstLineChars="200"/>
        <w:jc w:val="left"/>
        <w:textAlignment w:val="auto"/>
        <w:rPr>
          <w:rFonts w:hint="eastAsia" w:ascii="宋体" w:hAnsi="宋体" w:eastAsia="方正仿宋简体" w:cs="仿宋_GB2312"/>
          <w:sz w:val="32"/>
          <w:szCs w:val="32"/>
          <w:highlight w:val="none"/>
          <w:lang w:val="zh-CN" w:eastAsia="zh-CN"/>
        </w:rPr>
      </w:pPr>
      <w:r>
        <w:rPr>
          <w:rFonts w:hint="eastAsia" w:ascii="宋体" w:hAnsi="宋体" w:eastAsia="方正仿宋简体" w:cs="仿宋_GB2312"/>
          <w:sz w:val="32"/>
          <w:szCs w:val="32"/>
          <w:highlight w:val="none"/>
          <w:lang w:val="zh-CN" w:eastAsia="zh-CN"/>
        </w:rPr>
        <w:t>共青团天津市委员会综合服务中心2023年度部门决算国有资本经营预算财政拨款年初结转和结余0.00元，收入0.00元，支出0.00元，年末结余和结余0.00元。与2022年度相比，国有资本经营预算财政拨款支出</w:t>
      </w:r>
      <w:r>
        <w:rPr>
          <w:rFonts w:hint="eastAsia" w:ascii="宋体" w:hAnsi="宋体" w:eastAsia="方正仿宋简体" w:cs="仿宋_GB2312"/>
          <w:sz w:val="32"/>
          <w:szCs w:val="32"/>
          <w:highlight w:val="none"/>
          <w:lang w:val="en-US" w:eastAsia="zh-CN"/>
        </w:rPr>
        <w:t>持平</w:t>
      </w:r>
      <w:r>
        <w:rPr>
          <w:rFonts w:hint="eastAsia" w:ascii="宋体" w:hAnsi="宋体" w:eastAsia="方正仿宋简体" w:cs="仿宋_GB2312"/>
          <w:sz w:val="32"/>
          <w:szCs w:val="32"/>
          <w:highlight w:val="none"/>
          <w:lang w:val="zh-CN" w:eastAsia="zh-CN"/>
        </w:rPr>
        <w:t>0.00元，</w:t>
      </w:r>
      <w:r>
        <w:rPr>
          <w:rFonts w:hint="eastAsia" w:ascii="宋体" w:hAnsi="宋体" w:eastAsia="方正仿宋简体" w:cs="仿宋_GB2312"/>
          <w:sz w:val="32"/>
          <w:szCs w:val="32"/>
          <w:highlight w:val="none"/>
          <w:lang w:val="en-US" w:eastAsia="zh-CN"/>
        </w:rPr>
        <w:t>持平</w:t>
      </w:r>
      <w:r>
        <w:rPr>
          <w:rFonts w:hint="eastAsia" w:ascii="宋体" w:hAnsi="宋体" w:eastAsia="方正仿宋简体" w:cs="仿宋_GB2312"/>
          <w:sz w:val="32"/>
          <w:szCs w:val="32"/>
          <w:highlight w:val="none"/>
          <w:lang w:val="zh-CN" w:eastAsia="zh-CN"/>
        </w:rPr>
        <w:t>0.0%，主要原因是：共青团天津市委员会综合服务中心2023年度无国有资本经营预算财政拨款收入、支出和结转结余。</w:t>
      </w:r>
    </w:p>
    <w:p>
      <w:pPr>
        <w:keepNext/>
        <w:keepLines/>
        <w:pageBreakBefore w:val="0"/>
        <w:widowControl w:val="0"/>
        <w:kinsoku/>
        <w:wordWrap/>
        <w:overflowPunct/>
        <w:topLinePunct w:val="0"/>
        <w:autoSpaceDE w:val="0"/>
        <w:autoSpaceDN w:val="0"/>
        <w:bidi w:val="0"/>
        <w:adjustRightInd w:val="0"/>
        <w:snapToGrid/>
        <w:spacing w:line="588" w:lineRule="exact"/>
        <w:ind w:firstLine="602"/>
        <w:jc w:val="left"/>
        <w:textAlignment w:val="auto"/>
        <w:outlineLvl w:val="1"/>
        <w:rPr>
          <w:rFonts w:ascii="Times New Roman" w:hAnsi="Times New Roman" w:eastAsia="黑体" w:cs="黑体"/>
          <w:b/>
          <w:bCs/>
          <w:kern w:val="0"/>
          <w:sz w:val="32"/>
          <w:szCs w:val="32"/>
          <w:highlight w:val="none"/>
        </w:rPr>
      </w:pPr>
      <w:r>
        <w:rPr>
          <w:rFonts w:hint="eastAsia" w:ascii="Times New Roman" w:hAnsi="Times New Roman" w:eastAsia="黑体" w:cs="黑体"/>
          <w:b w:val="0"/>
          <w:bCs w:val="0"/>
          <w:kern w:val="0"/>
          <w:sz w:val="32"/>
          <w:szCs w:val="32"/>
          <w:highlight w:val="none"/>
        </w:rPr>
        <w:t>九、财政拨款“三公”经费</w:t>
      </w:r>
      <w:r>
        <w:rPr>
          <w:rFonts w:hint="eastAsia" w:ascii="Times New Roman" w:hAnsi="Times New Roman" w:eastAsia="黑体" w:cs="黑体"/>
          <w:b w:val="0"/>
          <w:bCs w:val="0"/>
          <w:kern w:val="0"/>
          <w:sz w:val="32"/>
          <w:szCs w:val="32"/>
          <w:highlight w:val="none"/>
          <w:lang w:val="zh-CN"/>
        </w:rPr>
        <w:t>支出决算</w:t>
      </w:r>
      <w:r>
        <w:rPr>
          <w:rFonts w:hint="eastAsia" w:ascii="Times New Roman" w:hAnsi="Times New Roman" w:eastAsia="黑体" w:cs="黑体"/>
          <w:b w:val="0"/>
          <w:bCs w:val="0"/>
          <w:kern w:val="0"/>
          <w:sz w:val="32"/>
          <w:szCs w:val="32"/>
          <w:highlight w:val="none"/>
        </w:rPr>
        <w:t>情况</w:t>
      </w:r>
    </w:p>
    <w:p>
      <w:pPr>
        <w:keepNext w:val="0"/>
        <w:keepLines w:val="0"/>
        <w:pageBreakBefore w:val="0"/>
        <w:widowControl w:val="0"/>
        <w:kinsoku/>
        <w:wordWrap/>
        <w:overflowPunct/>
        <w:topLinePunct w:val="0"/>
        <w:autoSpaceDE w:val="0"/>
        <w:autoSpaceDN w:val="0"/>
        <w:bidi w:val="0"/>
        <w:adjustRightInd w:val="0"/>
        <w:snapToGrid/>
        <w:spacing w:line="588" w:lineRule="exact"/>
        <w:ind w:firstLine="640" w:firstLineChars="200"/>
        <w:jc w:val="left"/>
        <w:textAlignment w:val="auto"/>
        <w:rPr>
          <w:rFonts w:hint="default" w:ascii="Times New Roman" w:hAnsi="Times New Roman" w:eastAsia="楷体" w:cs="楷体"/>
          <w:b/>
          <w:bCs/>
          <w:kern w:val="0"/>
          <w:sz w:val="32"/>
          <w:szCs w:val="32"/>
          <w:highlight w:val="none"/>
          <w:lang w:val="en-US" w:eastAsia="zh-CN"/>
        </w:rPr>
      </w:pPr>
      <w:r>
        <w:rPr>
          <w:rFonts w:hint="eastAsia" w:ascii="Times New Roman" w:hAnsi="Times New Roman" w:eastAsia="楷体" w:cs="楷体"/>
          <w:b w:val="0"/>
          <w:bCs w:val="0"/>
          <w:kern w:val="0"/>
          <w:sz w:val="32"/>
          <w:szCs w:val="32"/>
          <w:highlight w:val="none"/>
        </w:rPr>
        <w:t>（一）总体情况</w:t>
      </w:r>
      <w:r>
        <w:rPr>
          <w:rFonts w:hint="eastAsia" w:ascii="Times New Roman" w:hAnsi="Times New Roman" w:eastAsia="楷体" w:cs="楷体"/>
          <w:b w:val="0"/>
          <w:bCs w:val="0"/>
          <w:kern w:val="0"/>
          <w:sz w:val="32"/>
          <w:szCs w:val="32"/>
          <w:highlight w:val="none"/>
          <w:lang w:val="en-US" w:eastAsia="zh-CN"/>
        </w:rPr>
        <w:tab/>
      </w:r>
      <w:r>
        <w:rPr>
          <w:rFonts w:hint="eastAsia" w:ascii="Times New Roman" w:hAnsi="Times New Roman" w:eastAsia="楷体" w:cs="楷体"/>
          <w:b/>
          <w:bCs/>
          <w:kern w:val="0"/>
          <w:sz w:val="32"/>
          <w:szCs w:val="32"/>
          <w:highlight w:val="none"/>
          <w:lang w:val="en-US" w:eastAsia="zh-CN"/>
        </w:rPr>
        <w:tab/>
      </w:r>
      <w:r>
        <w:rPr>
          <w:rFonts w:hint="eastAsia" w:ascii="Times New Roman" w:hAnsi="Times New Roman" w:eastAsia="楷体" w:cs="楷体"/>
          <w:b/>
          <w:bCs/>
          <w:kern w:val="0"/>
          <w:sz w:val="32"/>
          <w:szCs w:val="32"/>
          <w:highlight w:val="none"/>
          <w:lang w:val="en-US" w:eastAsia="zh-CN"/>
        </w:rPr>
        <w:tab/>
      </w:r>
      <w:r>
        <w:rPr>
          <w:rFonts w:hint="eastAsia" w:ascii="Times New Roman" w:hAnsi="Times New Roman" w:eastAsia="楷体" w:cs="楷体"/>
          <w:b/>
          <w:bCs/>
          <w:kern w:val="0"/>
          <w:sz w:val="32"/>
          <w:szCs w:val="32"/>
          <w:highlight w:val="none"/>
          <w:lang w:val="en-US" w:eastAsia="zh-CN"/>
        </w:rPr>
        <w:tab/>
      </w:r>
    </w:p>
    <w:p>
      <w:pPr>
        <w:keepNext w:val="0"/>
        <w:keepLines w:val="0"/>
        <w:pageBreakBefore w:val="0"/>
        <w:widowControl w:val="0"/>
        <w:kinsoku/>
        <w:wordWrap/>
        <w:overflowPunct/>
        <w:topLinePunct w:val="0"/>
        <w:autoSpaceDE w:val="0"/>
        <w:autoSpaceDN w:val="0"/>
        <w:bidi w:val="0"/>
        <w:adjustRightInd w:val="0"/>
        <w:snapToGrid/>
        <w:spacing w:line="588" w:lineRule="exact"/>
        <w:ind w:firstLine="640" w:firstLineChars="200"/>
        <w:jc w:val="left"/>
        <w:textAlignment w:val="auto"/>
        <w:rPr>
          <w:rFonts w:hint="eastAsia" w:ascii="宋体" w:hAnsi="宋体" w:eastAsia="方正仿宋简体" w:cs="仿宋_GB2312"/>
          <w:sz w:val="32"/>
          <w:szCs w:val="32"/>
          <w:highlight w:val="none"/>
          <w:lang w:val="zh-CN" w:eastAsia="zh-CN"/>
        </w:rPr>
      </w:pPr>
      <w:r>
        <w:rPr>
          <w:rFonts w:hint="eastAsia" w:ascii="宋体" w:hAnsi="宋体" w:eastAsia="方正仿宋简体" w:cs="仿宋_GB2312"/>
          <w:sz w:val="32"/>
          <w:szCs w:val="32"/>
          <w:highlight w:val="none"/>
          <w:lang w:val="zh-CN" w:eastAsia="zh-CN"/>
        </w:rPr>
        <w:t>202</w:t>
      </w:r>
      <w:r>
        <w:rPr>
          <w:rFonts w:hint="eastAsia" w:ascii="宋体" w:hAnsi="宋体" w:eastAsia="方正仿宋简体" w:cs="仿宋_GB2312"/>
          <w:sz w:val="32"/>
          <w:szCs w:val="32"/>
          <w:highlight w:val="none"/>
          <w:lang w:val="en-US" w:eastAsia="zh-CN"/>
        </w:rPr>
        <w:t>3</w:t>
      </w:r>
      <w:r>
        <w:rPr>
          <w:rFonts w:hint="eastAsia" w:ascii="宋体" w:hAnsi="宋体" w:eastAsia="方正仿宋简体" w:cs="仿宋_GB2312"/>
          <w:sz w:val="32"/>
          <w:szCs w:val="32"/>
          <w:highlight w:val="none"/>
          <w:lang w:val="zh-CN" w:eastAsia="zh-CN"/>
        </w:rPr>
        <w:t>年财政拨款“三公”经费预算0.00元，支出决算0.00元，与202</w:t>
      </w:r>
      <w:r>
        <w:rPr>
          <w:rFonts w:hint="eastAsia" w:ascii="宋体" w:hAnsi="宋体" w:eastAsia="方正仿宋简体" w:cs="仿宋_GB2312"/>
          <w:sz w:val="32"/>
          <w:szCs w:val="32"/>
          <w:highlight w:val="none"/>
          <w:lang w:val="en-US" w:eastAsia="zh-CN"/>
        </w:rPr>
        <w:t>3</w:t>
      </w:r>
      <w:r>
        <w:rPr>
          <w:rFonts w:hint="eastAsia" w:ascii="宋体" w:hAnsi="宋体" w:eastAsia="方正仿宋简体" w:cs="仿宋_GB2312"/>
          <w:sz w:val="32"/>
          <w:szCs w:val="32"/>
          <w:highlight w:val="none"/>
          <w:lang w:val="zh-CN" w:eastAsia="zh-CN"/>
        </w:rPr>
        <w:t>年预算相比</w:t>
      </w:r>
      <w:r>
        <w:rPr>
          <w:rFonts w:hint="eastAsia" w:ascii="宋体" w:hAnsi="宋体" w:eastAsia="方正仿宋简体" w:cs="仿宋_GB2312"/>
          <w:sz w:val="32"/>
          <w:szCs w:val="32"/>
          <w:highlight w:val="none"/>
          <w:lang w:val="en-US" w:eastAsia="zh-CN"/>
        </w:rPr>
        <w:t>持平</w:t>
      </w:r>
      <w:r>
        <w:rPr>
          <w:rFonts w:hint="eastAsia" w:ascii="宋体" w:hAnsi="宋体" w:eastAsia="方正仿宋简体" w:cs="仿宋_GB2312"/>
          <w:sz w:val="32"/>
          <w:szCs w:val="32"/>
          <w:highlight w:val="none"/>
          <w:lang w:val="zh-CN" w:eastAsia="zh-CN"/>
        </w:rPr>
        <w:t>0.00元，完成预算的0.0%；较上年</w:t>
      </w:r>
      <w:r>
        <w:rPr>
          <w:rFonts w:hint="eastAsia" w:ascii="宋体" w:hAnsi="宋体" w:eastAsia="方正仿宋简体" w:cs="仿宋_GB2312"/>
          <w:sz w:val="32"/>
          <w:szCs w:val="32"/>
          <w:highlight w:val="none"/>
          <w:lang w:val="en-US" w:eastAsia="zh-CN"/>
        </w:rPr>
        <w:t>持平</w:t>
      </w:r>
      <w:r>
        <w:rPr>
          <w:rFonts w:hint="eastAsia" w:ascii="宋体" w:hAnsi="宋体" w:eastAsia="方正仿宋简体" w:cs="仿宋_GB2312"/>
          <w:sz w:val="32"/>
          <w:szCs w:val="32"/>
          <w:highlight w:val="none"/>
          <w:lang w:val="zh-CN" w:eastAsia="zh-CN"/>
        </w:rPr>
        <w:t>0.00元，</w:t>
      </w:r>
      <w:r>
        <w:rPr>
          <w:rFonts w:hint="eastAsia" w:ascii="宋体" w:hAnsi="宋体" w:eastAsia="方正仿宋简体" w:cs="仿宋_GB2312"/>
          <w:sz w:val="32"/>
          <w:szCs w:val="32"/>
          <w:highlight w:val="none"/>
          <w:lang w:val="en-US" w:eastAsia="zh-CN"/>
        </w:rPr>
        <w:t>持平</w:t>
      </w:r>
      <w:r>
        <w:rPr>
          <w:rFonts w:hint="eastAsia" w:ascii="宋体" w:hAnsi="宋体" w:eastAsia="方正仿宋简体" w:cs="仿宋_GB2312"/>
          <w:sz w:val="32"/>
          <w:szCs w:val="32"/>
          <w:highlight w:val="none"/>
          <w:lang w:val="zh-CN" w:eastAsia="zh-CN"/>
        </w:rPr>
        <w:t>0.0%。决算数等于预算数的主要原因是：本年度未用财政拨款经费列支“三公经费”；决算数较上年持平的主要原因是：本年度未用财政拨款经费列支“三公经费”。</w:t>
      </w:r>
    </w:p>
    <w:p>
      <w:pPr>
        <w:keepNext w:val="0"/>
        <w:keepLines w:val="0"/>
        <w:pageBreakBefore w:val="0"/>
        <w:widowControl w:val="0"/>
        <w:kinsoku/>
        <w:wordWrap/>
        <w:overflowPunct/>
        <w:topLinePunct w:val="0"/>
        <w:autoSpaceDE w:val="0"/>
        <w:autoSpaceDN w:val="0"/>
        <w:bidi w:val="0"/>
        <w:adjustRightInd w:val="0"/>
        <w:snapToGrid/>
        <w:spacing w:line="588" w:lineRule="exact"/>
        <w:ind w:firstLine="640" w:firstLineChars="200"/>
        <w:jc w:val="left"/>
        <w:textAlignment w:val="auto"/>
        <w:rPr>
          <w:rFonts w:hint="eastAsia" w:ascii="Times New Roman" w:hAnsi="Times New Roman" w:eastAsia="楷体" w:cs="楷体"/>
          <w:b w:val="0"/>
          <w:bCs w:val="0"/>
          <w:kern w:val="0"/>
          <w:sz w:val="32"/>
          <w:szCs w:val="32"/>
          <w:highlight w:val="none"/>
        </w:rPr>
      </w:pPr>
      <w:r>
        <w:rPr>
          <w:rFonts w:hint="eastAsia" w:ascii="Times New Roman" w:hAnsi="Times New Roman" w:eastAsia="楷体" w:cs="楷体"/>
          <w:b w:val="0"/>
          <w:bCs w:val="0"/>
          <w:kern w:val="0"/>
          <w:sz w:val="32"/>
          <w:szCs w:val="32"/>
          <w:highlight w:val="none"/>
        </w:rPr>
        <w:t>（</w:t>
      </w:r>
      <w:r>
        <w:rPr>
          <w:rFonts w:hint="eastAsia" w:ascii="Times New Roman" w:hAnsi="Times New Roman" w:eastAsia="楷体" w:cs="楷体"/>
          <w:b w:val="0"/>
          <w:bCs w:val="0"/>
          <w:kern w:val="0"/>
          <w:sz w:val="32"/>
          <w:szCs w:val="32"/>
          <w:highlight w:val="none"/>
        </w:rPr>
        <w:t>二）具体情况</w:t>
      </w:r>
    </w:p>
    <w:p>
      <w:pPr>
        <w:keepNext w:val="0"/>
        <w:keepLines w:val="0"/>
        <w:pageBreakBefore w:val="0"/>
        <w:widowControl w:val="0"/>
        <w:kinsoku/>
        <w:wordWrap/>
        <w:overflowPunct/>
        <w:topLinePunct w:val="0"/>
        <w:autoSpaceDE w:val="0"/>
        <w:autoSpaceDN w:val="0"/>
        <w:bidi w:val="0"/>
        <w:adjustRightInd w:val="0"/>
        <w:snapToGrid/>
        <w:spacing w:line="588" w:lineRule="exact"/>
        <w:ind w:firstLine="640" w:firstLineChars="200"/>
        <w:jc w:val="left"/>
        <w:textAlignment w:val="auto"/>
        <w:rPr>
          <w:rFonts w:hint="eastAsia" w:ascii="宋体" w:hAnsi="宋体" w:eastAsia="方正仿宋简体" w:cs="仿宋_GB2312"/>
          <w:sz w:val="32"/>
          <w:szCs w:val="32"/>
          <w:highlight w:val="none"/>
          <w:lang w:val="zh-CN" w:eastAsia="zh-CN"/>
        </w:rPr>
      </w:pPr>
      <w:r>
        <w:rPr>
          <w:rFonts w:hint="eastAsia" w:ascii="宋体" w:hAnsi="宋体" w:eastAsia="方正仿宋简体" w:cs="仿宋_GB2312"/>
          <w:sz w:val="32"/>
          <w:szCs w:val="32"/>
          <w:highlight w:val="none"/>
          <w:lang w:val="zh-CN" w:eastAsia="zh-CN"/>
        </w:rPr>
        <w:t>1.因公出国（境）费预算0.00元，支出决算0.00元，与预算相比</w:t>
      </w:r>
      <w:r>
        <w:rPr>
          <w:rFonts w:hint="eastAsia" w:ascii="宋体" w:hAnsi="宋体" w:eastAsia="方正仿宋简体" w:cs="仿宋_GB2312"/>
          <w:sz w:val="32"/>
          <w:szCs w:val="32"/>
          <w:highlight w:val="none"/>
          <w:lang w:val="en-US" w:eastAsia="zh-CN"/>
        </w:rPr>
        <w:t>持平</w:t>
      </w:r>
      <w:r>
        <w:rPr>
          <w:rFonts w:hint="eastAsia" w:ascii="宋体" w:hAnsi="宋体" w:eastAsia="方正仿宋简体" w:cs="仿宋_GB2312"/>
          <w:sz w:val="32"/>
          <w:szCs w:val="32"/>
          <w:highlight w:val="none"/>
          <w:lang w:val="zh-CN" w:eastAsia="zh-CN"/>
        </w:rPr>
        <w:t>0.00元，完成预算的0.0%；较上年</w:t>
      </w:r>
      <w:r>
        <w:rPr>
          <w:rFonts w:hint="eastAsia" w:ascii="宋体" w:hAnsi="宋体" w:eastAsia="方正仿宋简体" w:cs="仿宋_GB2312"/>
          <w:sz w:val="32"/>
          <w:szCs w:val="32"/>
          <w:highlight w:val="none"/>
          <w:lang w:val="en-US" w:eastAsia="zh-CN"/>
        </w:rPr>
        <w:t>持平</w:t>
      </w:r>
      <w:r>
        <w:rPr>
          <w:rFonts w:hint="eastAsia" w:ascii="宋体" w:hAnsi="宋体" w:eastAsia="方正仿宋简体" w:cs="仿宋_GB2312"/>
          <w:sz w:val="32"/>
          <w:szCs w:val="32"/>
          <w:highlight w:val="none"/>
          <w:lang w:val="zh-CN" w:eastAsia="zh-CN"/>
        </w:rPr>
        <w:t>0.00元，</w:t>
      </w:r>
      <w:r>
        <w:rPr>
          <w:rFonts w:hint="eastAsia" w:ascii="宋体" w:hAnsi="宋体" w:eastAsia="方正仿宋简体" w:cs="仿宋_GB2312"/>
          <w:sz w:val="32"/>
          <w:szCs w:val="32"/>
          <w:highlight w:val="none"/>
          <w:lang w:val="en-US" w:eastAsia="zh-CN"/>
        </w:rPr>
        <w:t>持平</w:t>
      </w:r>
      <w:r>
        <w:rPr>
          <w:rFonts w:hint="eastAsia" w:ascii="宋体" w:hAnsi="宋体" w:eastAsia="方正仿宋简体" w:cs="仿宋_GB2312"/>
          <w:sz w:val="32"/>
          <w:szCs w:val="32"/>
          <w:highlight w:val="none"/>
          <w:lang w:val="zh-CN" w:eastAsia="zh-CN"/>
        </w:rPr>
        <w:t>0.0%。决算数等于预算数的主要原因是：本年度未用财政拨款经费列支因公出国（境）费；决算数较上年持平的主要原因是：本年度未用财政拨款经费列支因公出国（境）费。</w:t>
      </w:r>
    </w:p>
    <w:p>
      <w:pPr>
        <w:keepNext w:val="0"/>
        <w:keepLines w:val="0"/>
        <w:pageBreakBefore w:val="0"/>
        <w:widowControl w:val="0"/>
        <w:kinsoku/>
        <w:wordWrap/>
        <w:overflowPunct/>
        <w:topLinePunct w:val="0"/>
        <w:autoSpaceDE w:val="0"/>
        <w:autoSpaceDN w:val="0"/>
        <w:bidi w:val="0"/>
        <w:adjustRightInd w:val="0"/>
        <w:snapToGrid/>
        <w:spacing w:line="588" w:lineRule="exact"/>
        <w:ind w:firstLine="640" w:firstLineChars="200"/>
        <w:jc w:val="left"/>
        <w:textAlignment w:val="auto"/>
        <w:rPr>
          <w:rFonts w:hint="eastAsia" w:ascii="宋体" w:hAnsi="宋体" w:eastAsia="方正仿宋简体" w:cs="仿宋_GB2312"/>
          <w:sz w:val="32"/>
          <w:szCs w:val="32"/>
          <w:highlight w:val="none"/>
          <w:lang w:val="zh-CN" w:eastAsia="zh-CN"/>
        </w:rPr>
      </w:pPr>
      <w:r>
        <w:rPr>
          <w:rFonts w:hint="eastAsia" w:ascii="宋体" w:hAnsi="宋体" w:eastAsia="方正仿宋简体" w:cs="仿宋_GB2312"/>
          <w:sz w:val="32"/>
          <w:szCs w:val="32"/>
          <w:highlight w:val="none"/>
          <w:lang w:val="zh-CN" w:eastAsia="zh-CN"/>
        </w:rPr>
        <w:t>202</w:t>
      </w:r>
      <w:r>
        <w:rPr>
          <w:rFonts w:hint="eastAsia" w:ascii="宋体" w:hAnsi="宋体" w:eastAsia="方正仿宋简体" w:cs="仿宋_GB2312"/>
          <w:sz w:val="32"/>
          <w:szCs w:val="32"/>
          <w:highlight w:val="none"/>
          <w:lang w:val="en-US" w:eastAsia="zh-CN"/>
        </w:rPr>
        <w:t>3</w:t>
      </w:r>
      <w:r>
        <w:rPr>
          <w:rFonts w:hint="eastAsia" w:ascii="宋体" w:hAnsi="宋体" w:eastAsia="方正仿宋简体" w:cs="仿宋_GB2312"/>
          <w:sz w:val="32"/>
          <w:szCs w:val="32"/>
          <w:highlight w:val="none"/>
          <w:lang w:val="zh-CN" w:eastAsia="zh-CN"/>
        </w:rPr>
        <w:t>年本单位组织的出国团组0个，出国0人次。</w:t>
      </w:r>
    </w:p>
    <w:p>
      <w:pPr>
        <w:keepNext w:val="0"/>
        <w:keepLines w:val="0"/>
        <w:pageBreakBefore w:val="0"/>
        <w:widowControl w:val="0"/>
        <w:kinsoku/>
        <w:wordWrap/>
        <w:overflowPunct/>
        <w:topLinePunct w:val="0"/>
        <w:autoSpaceDE w:val="0"/>
        <w:autoSpaceDN w:val="0"/>
        <w:bidi w:val="0"/>
        <w:adjustRightInd w:val="0"/>
        <w:snapToGrid/>
        <w:spacing w:line="588" w:lineRule="exact"/>
        <w:ind w:firstLine="640" w:firstLineChars="200"/>
        <w:jc w:val="left"/>
        <w:textAlignment w:val="auto"/>
        <w:rPr>
          <w:rFonts w:hint="eastAsia" w:ascii="宋体" w:hAnsi="宋体" w:eastAsia="方正仿宋简体" w:cs="仿宋_GB2312"/>
          <w:sz w:val="32"/>
          <w:szCs w:val="32"/>
          <w:highlight w:val="none"/>
          <w:lang w:val="zh-CN" w:eastAsia="zh-CN"/>
        </w:rPr>
      </w:pPr>
      <w:r>
        <w:rPr>
          <w:rFonts w:hint="eastAsia" w:ascii="宋体" w:hAnsi="宋体" w:eastAsia="方正仿宋简体" w:cs="仿宋_GB2312"/>
          <w:sz w:val="32"/>
          <w:szCs w:val="32"/>
          <w:highlight w:val="none"/>
          <w:lang w:val="zh-CN" w:eastAsia="zh-CN"/>
        </w:rPr>
        <w:t>2.公务用车购置及运行维护费预算0.00元，支出决算0.00元，与预算相比</w:t>
      </w:r>
      <w:r>
        <w:rPr>
          <w:rFonts w:hint="eastAsia" w:ascii="宋体" w:hAnsi="宋体" w:eastAsia="方正仿宋简体" w:cs="仿宋_GB2312"/>
          <w:sz w:val="32"/>
          <w:szCs w:val="32"/>
          <w:highlight w:val="none"/>
          <w:lang w:val="en-US" w:eastAsia="zh-CN"/>
        </w:rPr>
        <w:t>持平</w:t>
      </w:r>
      <w:r>
        <w:rPr>
          <w:rFonts w:hint="eastAsia" w:ascii="宋体" w:hAnsi="宋体" w:eastAsia="方正仿宋简体" w:cs="仿宋_GB2312"/>
          <w:sz w:val="32"/>
          <w:szCs w:val="32"/>
          <w:highlight w:val="none"/>
          <w:lang w:val="zh-CN" w:eastAsia="zh-CN"/>
        </w:rPr>
        <w:t>0.00元，完成预算的0.0%；较上年</w:t>
      </w:r>
      <w:r>
        <w:rPr>
          <w:rFonts w:hint="eastAsia" w:ascii="宋体" w:hAnsi="宋体" w:eastAsia="方正仿宋简体" w:cs="仿宋_GB2312"/>
          <w:sz w:val="32"/>
          <w:szCs w:val="32"/>
          <w:highlight w:val="none"/>
          <w:lang w:val="en-US" w:eastAsia="zh-CN"/>
        </w:rPr>
        <w:t>持平</w:t>
      </w:r>
      <w:r>
        <w:rPr>
          <w:rFonts w:hint="eastAsia" w:ascii="宋体" w:hAnsi="宋体" w:eastAsia="方正仿宋简体" w:cs="仿宋_GB2312"/>
          <w:sz w:val="32"/>
          <w:szCs w:val="32"/>
          <w:highlight w:val="none"/>
          <w:lang w:val="zh-CN" w:eastAsia="zh-CN"/>
        </w:rPr>
        <w:t>0.00元，</w:t>
      </w:r>
      <w:r>
        <w:rPr>
          <w:rFonts w:hint="eastAsia" w:ascii="宋体" w:hAnsi="宋体" w:eastAsia="方正仿宋简体" w:cs="仿宋_GB2312"/>
          <w:sz w:val="32"/>
          <w:szCs w:val="32"/>
          <w:highlight w:val="none"/>
          <w:lang w:val="en-US" w:eastAsia="zh-CN"/>
        </w:rPr>
        <w:t>持平</w:t>
      </w:r>
      <w:r>
        <w:rPr>
          <w:rFonts w:hint="eastAsia" w:ascii="宋体" w:hAnsi="宋体" w:eastAsia="方正仿宋简体" w:cs="仿宋_GB2312"/>
          <w:sz w:val="32"/>
          <w:szCs w:val="32"/>
          <w:highlight w:val="none"/>
          <w:lang w:val="zh-CN" w:eastAsia="zh-CN"/>
        </w:rPr>
        <w:t>0.0%。决算数等于预算数的主要原因是：本年度未用财政拨款经费列支公务用车购置费及公务用车运行维护费；决算数较上年持平的主要原因是：本年度未用财政拨款经费列支公务用车购置费及公务用车运行维护费。其中：</w:t>
      </w:r>
    </w:p>
    <w:p>
      <w:pPr>
        <w:keepNext w:val="0"/>
        <w:keepLines w:val="0"/>
        <w:pageBreakBefore w:val="0"/>
        <w:widowControl w:val="0"/>
        <w:kinsoku/>
        <w:wordWrap/>
        <w:overflowPunct/>
        <w:topLinePunct w:val="0"/>
        <w:autoSpaceDE w:val="0"/>
        <w:autoSpaceDN w:val="0"/>
        <w:bidi w:val="0"/>
        <w:adjustRightInd w:val="0"/>
        <w:snapToGrid/>
        <w:spacing w:line="588" w:lineRule="exact"/>
        <w:ind w:firstLine="640" w:firstLineChars="200"/>
        <w:jc w:val="left"/>
        <w:textAlignment w:val="auto"/>
        <w:rPr>
          <w:rFonts w:hint="eastAsia" w:ascii="宋体" w:hAnsi="宋体" w:eastAsia="方正仿宋简体" w:cs="仿宋_GB2312"/>
          <w:sz w:val="32"/>
          <w:szCs w:val="32"/>
          <w:highlight w:val="none"/>
          <w:lang w:val="zh-CN" w:eastAsia="zh-CN"/>
        </w:rPr>
      </w:pPr>
      <w:r>
        <w:rPr>
          <w:rFonts w:hint="eastAsia" w:ascii="宋体" w:hAnsi="宋体" w:eastAsia="方正仿宋简体" w:cs="仿宋_GB2312"/>
          <w:sz w:val="32"/>
          <w:szCs w:val="32"/>
          <w:highlight w:val="none"/>
          <w:lang w:val="zh-CN" w:eastAsia="zh-CN"/>
        </w:rPr>
        <w:t>公务用车运行维护费预算0.00元，支出决算0.00元，与预算相比</w:t>
      </w:r>
      <w:r>
        <w:rPr>
          <w:rFonts w:hint="eastAsia" w:ascii="宋体" w:hAnsi="宋体" w:eastAsia="方正仿宋简体" w:cs="仿宋_GB2312"/>
          <w:sz w:val="32"/>
          <w:szCs w:val="32"/>
          <w:highlight w:val="none"/>
          <w:lang w:val="en-US" w:eastAsia="zh-CN"/>
        </w:rPr>
        <w:t>持平</w:t>
      </w:r>
      <w:r>
        <w:rPr>
          <w:rFonts w:hint="eastAsia" w:ascii="宋体" w:hAnsi="宋体" w:eastAsia="方正仿宋简体" w:cs="仿宋_GB2312"/>
          <w:sz w:val="32"/>
          <w:szCs w:val="32"/>
          <w:highlight w:val="none"/>
          <w:lang w:val="zh-CN" w:eastAsia="zh-CN"/>
        </w:rPr>
        <w:t>0.00元，完成预算的0.0%；较上年</w:t>
      </w:r>
      <w:r>
        <w:rPr>
          <w:rFonts w:hint="eastAsia" w:ascii="宋体" w:hAnsi="宋体" w:eastAsia="方正仿宋简体" w:cs="仿宋_GB2312"/>
          <w:sz w:val="32"/>
          <w:szCs w:val="32"/>
          <w:highlight w:val="none"/>
          <w:lang w:val="en-US" w:eastAsia="zh-CN"/>
        </w:rPr>
        <w:t>持平</w:t>
      </w:r>
      <w:r>
        <w:rPr>
          <w:rFonts w:hint="eastAsia" w:ascii="宋体" w:hAnsi="宋体" w:eastAsia="方正仿宋简体" w:cs="仿宋_GB2312"/>
          <w:sz w:val="32"/>
          <w:szCs w:val="32"/>
          <w:highlight w:val="none"/>
          <w:lang w:val="zh-CN" w:eastAsia="zh-CN"/>
        </w:rPr>
        <w:t>0.00元，</w:t>
      </w:r>
      <w:r>
        <w:rPr>
          <w:rFonts w:hint="eastAsia" w:ascii="宋体" w:hAnsi="宋体" w:eastAsia="方正仿宋简体" w:cs="仿宋_GB2312"/>
          <w:sz w:val="32"/>
          <w:szCs w:val="32"/>
          <w:highlight w:val="none"/>
          <w:lang w:val="en-US" w:eastAsia="zh-CN"/>
        </w:rPr>
        <w:t>持平</w:t>
      </w:r>
      <w:r>
        <w:rPr>
          <w:rFonts w:hint="eastAsia" w:ascii="宋体" w:hAnsi="宋体" w:eastAsia="方正仿宋简体" w:cs="仿宋_GB2312"/>
          <w:sz w:val="32"/>
          <w:szCs w:val="32"/>
          <w:highlight w:val="none"/>
          <w:lang w:val="zh-CN" w:eastAsia="zh-CN"/>
        </w:rPr>
        <w:t>0.0%。决算数等于预算数的主要原因是：本年度未用财政拨款经费列支公务用车运行维护费；决算数较上年持平的主要原因是：本年度未用财政拨款经费列支公务用车运行维护费。</w:t>
      </w:r>
    </w:p>
    <w:p>
      <w:pPr>
        <w:keepNext w:val="0"/>
        <w:keepLines w:val="0"/>
        <w:pageBreakBefore w:val="0"/>
        <w:widowControl w:val="0"/>
        <w:kinsoku/>
        <w:wordWrap/>
        <w:overflowPunct/>
        <w:topLinePunct w:val="0"/>
        <w:autoSpaceDE w:val="0"/>
        <w:autoSpaceDN w:val="0"/>
        <w:bidi w:val="0"/>
        <w:adjustRightInd w:val="0"/>
        <w:snapToGrid/>
        <w:spacing w:line="588" w:lineRule="exact"/>
        <w:ind w:firstLine="640" w:firstLineChars="200"/>
        <w:jc w:val="left"/>
        <w:textAlignment w:val="auto"/>
        <w:rPr>
          <w:rFonts w:hint="eastAsia" w:ascii="宋体" w:hAnsi="宋体" w:eastAsia="方正仿宋简体" w:cs="仿宋_GB2312"/>
          <w:sz w:val="32"/>
          <w:szCs w:val="32"/>
          <w:highlight w:val="none"/>
          <w:lang w:val="zh-CN" w:eastAsia="zh-CN"/>
        </w:rPr>
      </w:pPr>
      <w:r>
        <w:rPr>
          <w:rFonts w:hint="eastAsia" w:ascii="宋体" w:hAnsi="宋体" w:eastAsia="方正仿宋简体" w:cs="仿宋_GB2312"/>
          <w:sz w:val="32"/>
          <w:szCs w:val="32"/>
          <w:highlight w:val="none"/>
          <w:lang w:val="zh-CN" w:eastAsia="zh-CN"/>
        </w:rPr>
        <w:t>截至202</w:t>
      </w:r>
      <w:r>
        <w:rPr>
          <w:rFonts w:hint="eastAsia" w:ascii="宋体" w:hAnsi="宋体" w:eastAsia="方正仿宋简体" w:cs="仿宋_GB2312"/>
          <w:sz w:val="32"/>
          <w:szCs w:val="32"/>
          <w:highlight w:val="none"/>
          <w:lang w:val="en-US" w:eastAsia="zh-CN"/>
        </w:rPr>
        <w:t>3</w:t>
      </w:r>
      <w:r>
        <w:rPr>
          <w:rFonts w:hint="eastAsia" w:ascii="宋体" w:hAnsi="宋体" w:eastAsia="方正仿宋简体" w:cs="仿宋_GB2312"/>
          <w:sz w:val="32"/>
          <w:szCs w:val="32"/>
          <w:highlight w:val="none"/>
          <w:lang w:val="zh-CN" w:eastAsia="zh-CN"/>
        </w:rPr>
        <w:t>年12月31日，使用财政拨款开支运行维护费的公务用车保有量为0辆。</w:t>
      </w:r>
    </w:p>
    <w:p>
      <w:pPr>
        <w:keepNext w:val="0"/>
        <w:keepLines w:val="0"/>
        <w:pageBreakBefore w:val="0"/>
        <w:widowControl w:val="0"/>
        <w:kinsoku/>
        <w:wordWrap/>
        <w:overflowPunct/>
        <w:topLinePunct w:val="0"/>
        <w:autoSpaceDE w:val="0"/>
        <w:autoSpaceDN w:val="0"/>
        <w:bidi w:val="0"/>
        <w:adjustRightInd w:val="0"/>
        <w:snapToGrid/>
        <w:spacing w:line="588" w:lineRule="exact"/>
        <w:ind w:firstLine="640" w:firstLineChars="200"/>
        <w:jc w:val="left"/>
        <w:textAlignment w:val="auto"/>
        <w:rPr>
          <w:rFonts w:hint="eastAsia" w:ascii="宋体" w:hAnsi="宋体" w:eastAsia="方正仿宋简体" w:cs="仿宋_GB2312"/>
          <w:sz w:val="32"/>
          <w:szCs w:val="32"/>
          <w:highlight w:val="none"/>
          <w:lang w:val="zh-CN" w:eastAsia="zh-CN"/>
        </w:rPr>
      </w:pPr>
      <w:r>
        <w:rPr>
          <w:rFonts w:hint="eastAsia" w:ascii="宋体" w:hAnsi="宋体" w:eastAsia="方正仿宋简体" w:cs="仿宋_GB2312"/>
          <w:sz w:val="32"/>
          <w:szCs w:val="32"/>
          <w:highlight w:val="none"/>
          <w:lang w:val="zh-CN" w:eastAsia="zh-CN"/>
        </w:rPr>
        <w:t>公务用车购置费预算0.00元，支出决算0.00元，与预算相比</w:t>
      </w:r>
      <w:r>
        <w:rPr>
          <w:rFonts w:hint="eastAsia" w:ascii="宋体" w:hAnsi="宋体" w:eastAsia="方正仿宋简体" w:cs="仿宋_GB2312"/>
          <w:sz w:val="32"/>
          <w:szCs w:val="32"/>
          <w:highlight w:val="none"/>
          <w:lang w:val="en-US" w:eastAsia="zh-CN"/>
        </w:rPr>
        <w:t>持平</w:t>
      </w:r>
      <w:r>
        <w:rPr>
          <w:rFonts w:hint="eastAsia" w:ascii="宋体" w:hAnsi="宋体" w:eastAsia="方正仿宋简体" w:cs="仿宋_GB2312"/>
          <w:sz w:val="32"/>
          <w:szCs w:val="32"/>
          <w:highlight w:val="none"/>
          <w:lang w:val="zh-CN" w:eastAsia="zh-CN"/>
        </w:rPr>
        <w:t>0.00元，完成预算的0.0%；较上年</w:t>
      </w:r>
      <w:r>
        <w:rPr>
          <w:rFonts w:hint="eastAsia" w:ascii="宋体" w:hAnsi="宋体" w:eastAsia="方正仿宋简体" w:cs="仿宋_GB2312"/>
          <w:sz w:val="32"/>
          <w:szCs w:val="32"/>
          <w:highlight w:val="none"/>
          <w:lang w:val="en-US" w:eastAsia="zh-CN"/>
        </w:rPr>
        <w:t>持平</w:t>
      </w:r>
      <w:r>
        <w:rPr>
          <w:rFonts w:hint="eastAsia" w:ascii="宋体" w:hAnsi="宋体" w:eastAsia="方正仿宋简体" w:cs="仿宋_GB2312"/>
          <w:sz w:val="32"/>
          <w:szCs w:val="32"/>
          <w:highlight w:val="none"/>
          <w:lang w:val="zh-CN" w:eastAsia="zh-CN"/>
        </w:rPr>
        <w:t>0.00元，</w:t>
      </w:r>
      <w:r>
        <w:rPr>
          <w:rFonts w:hint="eastAsia" w:ascii="宋体" w:hAnsi="宋体" w:eastAsia="方正仿宋简体" w:cs="仿宋_GB2312"/>
          <w:sz w:val="32"/>
          <w:szCs w:val="32"/>
          <w:highlight w:val="none"/>
          <w:lang w:val="en-US" w:eastAsia="zh-CN"/>
        </w:rPr>
        <w:t>持平</w:t>
      </w:r>
      <w:r>
        <w:rPr>
          <w:rFonts w:hint="eastAsia" w:ascii="宋体" w:hAnsi="宋体" w:eastAsia="方正仿宋简体" w:cs="仿宋_GB2312"/>
          <w:sz w:val="32"/>
          <w:szCs w:val="32"/>
          <w:highlight w:val="none"/>
          <w:lang w:val="zh-CN" w:eastAsia="zh-CN"/>
        </w:rPr>
        <w:t>0.0%。决算数等于预算数的主要原因是：本年度未用财政拨款经费列支公务用车购置费；决算数较上年持平的主要原因是：本年度未用财政拨款经费列支公务用车购置费。</w:t>
      </w:r>
    </w:p>
    <w:p>
      <w:pPr>
        <w:keepNext w:val="0"/>
        <w:keepLines w:val="0"/>
        <w:pageBreakBefore w:val="0"/>
        <w:widowControl w:val="0"/>
        <w:kinsoku/>
        <w:wordWrap/>
        <w:overflowPunct/>
        <w:topLinePunct w:val="0"/>
        <w:autoSpaceDE w:val="0"/>
        <w:autoSpaceDN w:val="0"/>
        <w:bidi w:val="0"/>
        <w:adjustRightInd w:val="0"/>
        <w:snapToGrid/>
        <w:spacing w:line="588" w:lineRule="exact"/>
        <w:ind w:firstLine="640" w:firstLineChars="200"/>
        <w:jc w:val="left"/>
        <w:textAlignment w:val="auto"/>
        <w:rPr>
          <w:rFonts w:hint="eastAsia" w:ascii="宋体" w:hAnsi="宋体" w:eastAsia="方正仿宋简体" w:cs="仿宋_GB2312"/>
          <w:sz w:val="32"/>
          <w:szCs w:val="32"/>
          <w:highlight w:val="none"/>
          <w:lang w:val="zh-CN" w:eastAsia="zh-CN"/>
        </w:rPr>
      </w:pPr>
      <w:r>
        <w:rPr>
          <w:rFonts w:hint="eastAsia" w:ascii="宋体" w:hAnsi="宋体" w:eastAsia="方正仿宋简体" w:cs="仿宋_GB2312"/>
          <w:sz w:val="32"/>
          <w:szCs w:val="32"/>
          <w:highlight w:val="none"/>
          <w:lang w:val="zh-CN" w:eastAsia="zh-CN"/>
        </w:rPr>
        <w:t>202</w:t>
      </w:r>
      <w:r>
        <w:rPr>
          <w:rFonts w:hint="eastAsia" w:ascii="宋体" w:hAnsi="宋体" w:eastAsia="方正仿宋简体" w:cs="仿宋_GB2312"/>
          <w:sz w:val="32"/>
          <w:szCs w:val="32"/>
          <w:highlight w:val="none"/>
          <w:lang w:val="en-US" w:eastAsia="zh-CN"/>
        </w:rPr>
        <w:t>3</w:t>
      </w:r>
      <w:r>
        <w:rPr>
          <w:rFonts w:hint="eastAsia" w:ascii="宋体" w:hAnsi="宋体" w:eastAsia="方正仿宋简体" w:cs="仿宋_GB2312"/>
          <w:sz w:val="32"/>
          <w:szCs w:val="32"/>
          <w:highlight w:val="none"/>
          <w:lang w:val="zh-CN" w:eastAsia="zh-CN"/>
        </w:rPr>
        <w:t>年购置公务用车0辆。</w:t>
      </w:r>
    </w:p>
    <w:p>
      <w:pPr>
        <w:keepNext w:val="0"/>
        <w:keepLines w:val="0"/>
        <w:pageBreakBefore w:val="0"/>
        <w:widowControl w:val="0"/>
        <w:kinsoku/>
        <w:wordWrap/>
        <w:overflowPunct/>
        <w:topLinePunct w:val="0"/>
        <w:autoSpaceDE w:val="0"/>
        <w:autoSpaceDN w:val="0"/>
        <w:bidi w:val="0"/>
        <w:adjustRightInd w:val="0"/>
        <w:snapToGrid/>
        <w:spacing w:line="588" w:lineRule="exact"/>
        <w:ind w:firstLine="640" w:firstLineChars="200"/>
        <w:jc w:val="left"/>
        <w:textAlignment w:val="auto"/>
        <w:rPr>
          <w:rFonts w:hint="eastAsia" w:ascii="宋体" w:hAnsi="宋体" w:eastAsia="方正仿宋简体" w:cs="仿宋_GB2312"/>
          <w:sz w:val="32"/>
          <w:szCs w:val="32"/>
          <w:highlight w:val="none"/>
          <w:lang w:val="zh-CN" w:eastAsia="zh-CN"/>
        </w:rPr>
      </w:pPr>
      <w:r>
        <w:rPr>
          <w:rFonts w:hint="eastAsia" w:ascii="宋体" w:hAnsi="宋体" w:eastAsia="方正仿宋简体" w:cs="仿宋_GB2312"/>
          <w:sz w:val="32"/>
          <w:szCs w:val="32"/>
          <w:highlight w:val="none"/>
          <w:lang w:val="zh-CN" w:eastAsia="zh-CN"/>
        </w:rPr>
        <w:t>3.公务接待费预算0.00元，支出决算0.00元，与预算相比</w:t>
      </w:r>
      <w:r>
        <w:rPr>
          <w:rFonts w:hint="eastAsia" w:ascii="宋体" w:hAnsi="宋体" w:eastAsia="方正仿宋简体" w:cs="仿宋_GB2312"/>
          <w:sz w:val="32"/>
          <w:szCs w:val="32"/>
          <w:highlight w:val="none"/>
          <w:lang w:val="en-US" w:eastAsia="zh-CN"/>
        </w:rPr>
        <w:t>持平</w:t>
      </w:r>
      <w:r>
        <w:rPr>
          <w:rFonts w:hint="eastAsia" w:ascii="宋体" w:hAnsi="宋体" w:eastAsia="方正仿宋简体" w:cs="仿宋_GB2312"/>
          <w:sz w:val="32"/>
          <w:szCs w:val="32"/>
          <w:highlight w:val="none"/>
          <w:lang w:val="zh-CN" w:eastAsia="zh-CN"/>
        </w:rPr>
        <w:t>0.00元，完成预算的0.0%；较上年</w:t>
      </w:r>
      <w:r>
        <w:rPr>
          <w:rFonts w:hint="eastAsia" w:ascii="宋体" w:hAnsi="宋体" w:eastAsia="方正仿宋简体" w:cs="仿宋_GB2312"/>
          <w:sz w:val="32"/>
          <w:szCs w:val="32"/>
          <w:highlight w:val="none"/>
          <w:lang w:val="en-US" w:eastAsia="zh-CN"/>
        </w:rPr>
        <w:t>持平</w:t>
      </w:r>
      <w:r>
        <w:rPr>
          <w:rFonts w:hint="eastAsia" w:ascii="宋体" w:hAnsi="宋体" w:eastAsia="方正仿宋简体" w:cs="仿宋_GB2312"/>
          <w:sz w:val="32"/>
          <w:szCs w:val="32"/>
          <w:highlight w:val="none"/>
          <w:lang w:val="zh-CN" w:eastAsia="zh-CN"/>
        </w:rPr>
        <w:t>0.00元，</w:t>
      </w:r>
      <w:r>
        <w:rPr>
          <w:rFonts w:hint="eastAsia" w:ascii="宋体" w:hAnsi="宋体" w:eastAsia="方正仿宋简体" w:cs="仿宋_GB2312"/>
          <w:sz w:val="32"/>
          <w:szCs w:val="32"/>
          <w:highlight w:val="none"/>
          <w:lang w:val="en-US" w:eastAsia="zh-CN"/>
        </w:rPr>
        <w:t>持平</w:t>
      </w:r>
      <w:r>
        <w:rPr>
          <w:rFonts w:hint="eastAsia" w:ascii="宋体" w:hAnsi="宋体" w:eastAsia="方正仿宋简体" w:cs="仿宋_GB2312"/>
          <w:sz w:val="32"/>
          <w:szCs w:val="32"/>
          <w:highlight w:val="none"/>
          <w:lang w:val="zh-CN" w:eastAsia="zh-CN"/>
        </w:rPr>
        <w:t>0.0%。决算数等于预算数的主要原因是：本年度未用财政拨款经费列支公务接待费；决算数较上年持平的主要原因是：本年度未用财政拨款经费列支公务接待费。</w:t>
      </w:r>
    </w:p>
    <w:p>
      <w:pPr>
        <w:keepNext w:val="0"/>
        <w:keepLines w:val="0"/>
        <w:pageBreakBefore w:val="0"/>
        <w:widowControl w:val="0"/>
        <w:kinsoku/>
        <w:wordWrap/>
        <w:overflowPunct/>
        <w:topLinePunct w:val="0"/>
        <w:autoSpaceDE w:val="0"/>
        <w:autoSpaceDN w:val="0"/>
        <w:bidi w:val="0"/>
        <w:adjustRightInd w:val="0"/>
        <w:snapToGrid/>
        <w:spacing w:line="588" w:lineRule="exact"/>
        <w:ind w:firstLine="640" w:firstLineChars="200"/>
        <w:jc w:val="left"/>
        <w:textAlignment w:val="auto"/>
        <w:rPr>
          <w:rFonts w:hint="eastAsia" w:ascii="宋体" w:hAnsi="宋体" w:eastAsia="方正仿宋简体" w:cs="仿宋_GB2312"/>
          <w:sz w:val="32"/>
          <w:szCs w:val="32"/>
          <w:highlight w:val="none"/>
          <w:lang w:val="zh-CN" w:eastAsia="zh-CN"/>
        </w:rPr>
      </w:pPr>
      <w:r>
        <w:rPr>
          <w:rFonts w:hint="eastAsia" w:ascii="宋体" w:hAnsi="宋体" w:eastAsia="方正仿宋简体" w:cs="仿宋_GB2312"/>
          <w:sz w:val="32"/>
          <w:szCs w:val="32"/>
          <w:highlight w:val="none"/>
          <w:lang w:val="zh-CN" w:eastAsia="zh-CN"/>
        </w:rPr>
        <w:t>202</w:t>
      </w:r>
      <w:r>
        <w:rPr>
          <w:rFonts w:hint="eastAsia" w:ascii="宋体" w:hAnsi="宋体" w:eastAsia="方正仿宋简体" w:cs="仿宋_GB2312"/>
          <w:sz w:val="32"/>
          <w:szCs w:val="32"/>
          <w:highlight w:val="none"/>
          <w:lang w:val="en-US" w:eastAsia="zh-CN"/>
        </w:rPr>
        <w:t>3</w:t>
      </w:r>
      <w:r>
        <w:rPr>
          <w:rFonts w:hint="eastAsia" w:ascii="宋体" w:hAnsi="宋体" w:eastAsia="方正仿宋简体" w:cs="仿宋_GB2312"/>
          <w:sz w:val="32"/>
          <w:szCs w:val="32"/>
          <w:highlight w:val="none"/>
          <w:lang w:val="zh-CN" w:eastAsia="zh-CN"/>
        </w:rPr>
        <w:t>年本单位国内公务接待0批次，0人次；其中，外事接待0批次，0人次。</w:t>
      </w:r>
    </w:p>
    <w:p>
      <w:pPr>
        <w:keepNext/>
        <w:keepLines/>
        <w:pageBreakBefore w:val="0"/>
        <w:widowControl w:val="0"/>
        <w:kinsoku/>
        <w:wordWrap/>
        <w:overflowPunct/>
        <w:topLinePunct w:val="0"/>
        <w:autoSpaceDE w:val="0"/>
        <w:autoSpaceDN w:val="0"/>
        <w:bidi w:val="0"/>
        <w:adjustRightInd w:val="0"/>
        <w:snapToGrid/>
        <w:spacing w:line="588" w:lineRule="exact"/>
        <w:ind w:firstLine="640" w:firstLineChars="200"/>
        <w:jc w:val="left"/>
        <w:textAlignment w:val="auto"/>
        <w:outlineLvl w:val="1"/>
        <w:rPr>
          <w:rFonts w:ascii="Times New Roman" w:hAnsi="Times New Roman" w:eastAsia="黑体" w:cs="黑体"/>
          <w:b w:val="0"/>
          <w:bCs w:val="0"/>
          <w:kern w:val="0"/>
          <w:sz w:val="32"/>
          <w:szCs w:val="32"/>
          <w:highlight w:val="none"/>
        </w:rPr>
      </w:pPr>
      <w:r>
        <w:rPr>
          <w:rFonts w:hint="eastAsia" w:ascii="Times New Roman" w:hAnsi="Times New Roman" w:eastAsia="黑体" w:cs="黑体"/>
          <w:b w:val="0"/>
          <w:bCs w:val="0"/>
          <w:kern w:val="0"/>
          <w:sz w:val="32"/>
          <w:szCs w:val="32"/>
          <w:highlight w:val="none"/>
        </w:rPr>
        <w:t>十、机关运行经费支出情况说明</w:t>
      </w:r>
    </w:p>
    <w:p>
      <w:pPr>
        <w:keepNext w:val="0"/>
        <w:keepLines w:val="0"/>
        <w:pageBreakBefore w:val="0"/>
        <w:widowControl w:val="0"/>
        <w:kinsoku/>
        <w:wordWrap/>
        <w:overflowPunct/>
        <w:topLinePunct w:val="0"/>
        <w:autoSpaceDE w:val="0"/>
        <w:autoSpaceDN w:val="0"/>
        <w:bidi w:val="0"/>
        <w:adjustRightInd w:val="0"/>
        <w:snapToGrid/>
        <w:spacing w:line="588" w:lineRule="exact"/>
        <w:ind w:firstLine="640" w:firstLineChars="200"/>
        <w:jc w:val="left"/>
        <w:textAlignment w:val="auto"/>
        <w:rPr>
          <w:rFonts w:hint="eastAsia" w:ascii="Times New Roman" w:hAnsi="Times New Roman" w:eastAsia="仿宋_GB2312" w:cs="仿宋_GB2312"/>
          <w:sz w:val="32"/>
          <w:szCs w:val="32"/>
          <w:highlight w:val="none"/>
          <w:lang w:eastAsia="zh-CN"/>
        </w:rPr>
      </w:pPr>
      <w:r>
        <w:rPr>
          <w:rFonts w:hint="eastAsia" w:ascii="宋体" w:hAnsi="宋体" w:eastAsia="方正仿宋简体" w:cs="仿宋_GB2312"/>
          <w:sz w:val="32"/>
          <w:szCs w:val="32"/>
          <w:highlight w:val="none"/>
          <w:lang w:val="zh-CN" w:eastAsia="zh-CN"/>
        </w:rPr>
        <w:t>机关运行经费是指行政单位和参照公务员法管理的事业单位使用一般公共预算财政拨款安排的基本支出中的日常公用经费支出，共青团天津市委员会综合服务中心2023年度机关运行经费决算数0.00元，比2022年</w:t>
      </w:r>
      <w:r>
        <w:rPr>
          <w:rFonts w:hint="eastAsia" w:ascii="宋体" w:hAnsi="宋体" w:eastAsia="方正仿宋简体" w:cs="仿宋_GB2312"/>
          <w:sz w:val="32"/>
          <w:szCs w:val="32"/>
          <w:highlight w:val="none"/>
          <w:lang w:val="en-US" w:eastAsia="zh-CN"/>
        </w:rPr>
        <w:t>持平</w:t>
      </w:r>
      <w:r>
        <w:rPr>
          <w:rFonts w:hint="eastAsia" w:ascii="宋体" w:hAnsi="宋体" w:eastAsia="方正仿宋简体" w:cs="仿宋_GB2312"/>
          <w:sz w:val="32"/>
          <w:szCs w:val="32"/>
          <w:highlight w:val="none"/>
          <w:lang w:val="zh-CN" w:eastAsia="zh-CN"/>
        </w:rPr>
        <w:t>0.00元，</w:t>
      </w:r>
      <w:r>
        <w:rPr>
          <w:rFonts w:hint="eastAsia" w:ascii="宋体" w:hAnsi="宋体" w:eastAsia="方正仿宋简体" w:cs="仿宋_GB2312"/>
          <w:sz w:val="32"/>
          <w:szCs w:val="32"/>
          <w:highlight w:val="none"/>
          <w:lang w:val="en-US" w:eastAsia="zh-CN"/>
        </w:rPr>
        <w:t>持平</w:t>
      </w:r>
      <w:r>
        <w:rPr>
          <w:rFonts w:hint="eastAsia" w:ascii="宋体" w:hAnsi="宋体" w:eastAsia="方正仿宋简体" w:cs="仿宋_GB2312"/>
          <w:sz w:val="32"/>
          <w:szCs w:val="32"/>
          <w:highlight w:val="none"/>
          <w:lang w:val="zh-CN" w:eastAsia="zh-CN"/>
        </w:rPr>
        <w:t>0.0%。主要原因是：共青团天津市委员会综合服务中心2023年度无机关运行经费。</w:t>
      </w:r>
    </w:p>
    <w:p>
      <w:pPr>
        <w:keepNext/>
        <w:keepLines/>
        <w:pageBreakBefore w:val="0"/>
        <w:widowControl w:val="0"/>
        <w:kinsoku/>
        <w:wordWrap/>
        <w:overflowPunct/>
        <w:topLinePunct w:val="0"/>
        <w:autoSpaceDE w:val="0"/>
        <w:autoSpaceDN w:val="0"/>
        <w:bidi w:val="0"/>
        <w:adjustRightInd w:val="0"/>
        <w:snapToGrid/>
        <w:spacing w:line="588" w:lineRule="exact"/>
        <w:ind w:firstLine="640" w:firstLineChars="200"/>
        <w:jc w:val="left"/>
        <w:textAlignment w:val="auto"/>
        <w:outlineLvl w:val="1"/>
        <w:rPr>
          <w:rFonts w:ascii="Times New Roman" w:hAnsi="Times New Roman" w:eastAsia="黑体" w:cs="黑体"/>
          <w:b/>
          <w:bCs/>
          <w:kern w:val="0"/>
          <w:sz w:val="32"/>
          <w:szCs w:val="32"/>
          <w:highlight w:val="none"/>
        </w:rPr>
      </w:pPr>
      <w:r>
        <w:rPr>
          <w:rFonts w:hint="eastAsia" w:ascii="Times New Roman" w:hAnsi="Times New Roman" w:eastAsia="黑体" w:cs="黑体"/>
          <w:b w:val="0"/>
          <w:bCs w:val="0"/>
          <w:kern w:val="0"/>
          <w:sz w:val="32"/>
          <w:szCs w:val="32"/>
          <w:highlight w:val="none"/>
        </w:rPr>
        <w:t>十一、政府采购支出情况说明</w:t>
      </w:r>
    </w:p>
    <w:p>
      <w:pPr>
        <w:keepNext w:val="0"/>
        <w:keepLines w:val="0"/>
        <w:pageBreakBefore w:val="0"/>
        <w:widowControl w:val="0"/>
        <w:kinsoku/>
        <w:wordWrap/>
        <w:overflowPunct/>
        <w:topLinePunct w:val="0"/>
        <w:autoSpaceDE w:val="0"/>
        <w:autoSpaceDN w:val="0"/>
        <w:bidi w:val="0"/>
        <w:adjustRightInd w:val="0"/>
        <w:snapToGrid/>
        <w:spacing w:line="588" w:lineRule="exact"/>
        <w:ind w:firstLine="640" w:firstLineChars="200"/>
        <w:jc w:val="left"/>
        <w:textAlignment w:val="auto"/>
        <w:rPr>
          <w:rFonts w:hint="eastAsia" w:ascii="宋体" w:hAnsi="宋体" w:eastAsia="方正仿宋简体" w:cs="仿宋_GB2312"/>
          <w:sz w:val="32"/>
          <w:szCs w:val="32"/>
          <w:highlight w:val="none"/>
          <w:lang w:val="zh-CN" w:eastAsia="zh-CN"/>
        </w:rPr>
      </w:pPr>
      <w:r>
        <w:rPr>
          <w:rFonts w:hint="eastAsia" w:ascii="宋体" w:hAnsi="宋体" w:eastAsia="方正仿宋简体" w:cs="仿宋_GB2312"/>
          <w:sz w:val="32"/>
          <w:szCs w:val="32"/>
          <w:highlight w:val="none"/>
          <w:lang w:val="zh-CN" w:eastAsia="zh-CN"/>
        </w:rPr>
        <w:t>共青团天津市委员会综合服务中心2023年政府采购支出总额0.00元，其中：政府采购货物支出0.00元、政府采购工程支出0.00元、政府采购服务支出0.00元。授予中小企业合同金额0.00元，占政府采购支出总额的0.0%，其中：授予小微企业合同金额0.00元，占政府采购支出总额的0.0%；货物采购授予中小企业合同金额占货物支出金额的0.0%，工程采购授予中小企业合同金额占工程支出金额的0.0%，服务采购授予中小企业合同金额占服务支出金额的0.0%。</w:t>
      </w:r>
    </w:p>
    <w:p>
      <w:pPr>
        <w:keepNext w:val="0"/>
        <w:keepLines w:val="0"/>
        <w:pageBreakBefore w:val="0"/>
        <w:widowControl w:val="0"/>
        <w:kinsoku/>
        <w:wordWrap/>
        <w:overflowPunct/>
        <w:topLinePunct w:val="0"/>
        <w:autoSpaceDE w:val="0"/>
        <w:autoSpaceDN w:val="0"/>
        <w:bidi w:val="0"/>
        <w:adjustRightInd w:val="0"/>
        <w:snapToGrid/>
        <w:spacing w:line="588" w:lineRule="exact"/>
        <w:ind w:firstLine="640" w:firstLineChars="200"/>
        <w:jc w:val="left"/>
        <w:textAlignment w:val="auto"/>
        <w:rPr>
          <w:rFonts w:hint="eastAsia" w:ascii="宋体" w:hAnsi="宋体" w:eastAsia="方正仿宋简体" w:cs="仿宋_GB2312"/>
          <w:sz w:val="32"/>
          <w:szCs w:val="32"/>
          <w:highlight w:val="none"/>
          <w:lang w:val="zh-CN" w:eastAsia="zh-CN"/>
        </w:rPr>
      </w:pPr>
      <w:r>
        <w:rPr>
          <w:rFonts w:hint="eastAsia" w:ascii="宋体" w:hAnsi="宋体" w:eastAsia="方正仿宋简体" w:cs="仿宋_GB2312"/>
          <w:sz w:val="32"/>
          <w:szCs w:val="32"/>
          <w:highlight w:val="none"/>
          <w:lang w:val="zh-CN" w:eastAsia="zh-CN"/>
        </w:rPr>
        <w:t>共青团天津市委员会综合服务中心2023年度无政府采购支出。</w:t>
      </w:r>
    </w:p>
    <w:p>
      <w:pPr>
        <w:keepNext/>
        <w:keepLines/>
        <w:pageBreakBefore w:val="0"/>
        <w:widowControl w:val="0"/>
        <w:kinsoku/>
        <w:wordWrap/>
        <w:overflowPunct/>
        <w:topLinePunct w:val="0"/>
        <w:autoSpaceDE w:val="0"/>
        <w:autoSpaceDN w:val="0"/>
        <w:bidi w:val="0"/>
        <w:adjustRightInd w:val="0"/>
        <w:snapToGrid/>
        <w:spacing w:line="588" w:lineRule="exact"/>
        <w:ind w:firstLine="640" w:firstLineChars="200"/>
        <w:jc w:val="left"/>
        <w:textAlignment w:val="auto"/>
        <w:outlineLvl w:val="1"/>
        <w:rPr>
          <w:rFonts w:hint="eastAsia" w:ascii="Times New Roman" w:hAnsi="Times New Roman" w:eastAsia="黑体" w:cs="黑体"/>
          <w:b/>
          <w:bCs/>
          <w:kern w:val="0"/>
          <w:sz w:val="32"/>
          <w:szCs w:val="32"/>
          <w:highlight w:val="none"/>
        </w:rPr>
      </w:pPr>
      <w:r>
        <w:rPr>
          <w:rFonts w:hint="eastAsia" w:ascii="Times New Roman" w:hAnsi="Times New Roman" w:eastAsia="黑体" w:cs="黑体"/>
          <w:b w:val="0"/>
          <w:bCs w:val="0"/>
          <w:kern w:val="0"/>
          <w:sz w:val="32"/>
          <w:szCs w:val="32"/>
          <w:highlight w:val="none"/>
          <w:lang w:val="zh-CN"/>
        </w:rPr>
        <w:t>十二、</w:t>
      </w:r>
      <w:r>
        <w:rPr>
          <w:rFonts w:hint="eastAsia" w:ascii="Times New Roman" w:hAnsi="Times New Roman" w:eastAsia="黑体" w:cs="黑体"/>
          <w:b w:val="0"/>
          <w:bCs w:val="0"/>
          <w:kern w:val="0"/>
          <w:sz w:val="32"/>
          <w:szCs w:val="32"/>
          <w:highlight w:val="none"/>
        </w:rPr>
        <w:t>国有资产占有使用情况说明</w:t>
      </w:r>
    </w:p>
    <w:p>
      <w:pPr>
        <w:keepNext w:val="0"/>
        <w:keepLines w:val="0"/>
        <w:pageBreakBefore w:val="0"/>
        <w:widowControl w:val="0"/>
        <w:kinsoku/>
        <w:wordWrap/>
        <w:overflowPunct/>
        <w:topLinePunct w:val="0"/>
        <w:autoSpaceDE w:val="0"/>
        <w:autoSpaceDN w:val="0"/>
        <w:bidi w:val="0"/>
        <w:adjustRightInd w:val="0"/>
        <w:snapToGrid/>
        <w:spacing w:line="588" w:lineRule="exact"/>
        <w:ind w:firstLine="640" w:firstLineChars="200"/>
        <w:jc w:val="left"/>
        <w:textAlignment w:val="auto"/>
        <w:rPr>
          <w:rFonts w:hint="eastAsia" w:ascii="宋体" w:hAnsi="宋体" w:eastAsia="方正仿宋简体" w:cs="仿宋_GB2312"/>
          <w:sz w:val="32"/>
          <w:szCs w:val="32"/>
          <w:highlight w:val="none"/>
          <w:lang w:val="zh-CN" w:eastAsia="zh-CN"/>
        </w:rPr>
      </w:pPr>
      <w:r>
        <w:rPr>
          <w:rFonts w:hint="eastAsia" w:ascii="宋体" w:hAnsi="宋体" w:eastAsia="方正仿宋简体" w:cs="仿宋_GB2312"/>
          <w:sz w:val="32"/>
          <w:szCs w:val="32"/>
          <w:highlight w:val="none"/>
          <w:lang w:val="zh-CN" w:eastAsia="zh-CN"/>
        </w:rPr>
        <w:t>截至202</w:t>
      </w:r>
      <w:r>
        <w:rPr>
          <w:rFonts w:hint="eastAsia" w:ascii="宋体" w:hAnsi="宋体" w:eastAsia="方正仿宋简体" w:cs="仿宋_GB2312"/>
          <w:sz w:val="32"/>
          <w:szCs w:val="32"/>
          <w:highlight w:val="none"/>
          <w:lang w:val="en-US" w:eastAsia="zh-CN"/>
        </w:rPr>
        <w:t>3</w:t>
      </w:r>
      <w:r>
        <w:rPr>
          <w:rFonts w:hint="eastAsia" w:ascii="宋体" w:hAnsi="宋体" w:eastAsia="方正仿宋简体" w:cs="仿宋_GB2312"/>
          <w:sz w:val="32"/>
          <w:szCs w:val="32"/>
          <w:highlight w:val="none"/>
          <w:lang w:val="zh-CN" w:eastAsia="zh-CN"/>
        </w:rPr>
        <w:t>年12月31日，共青团天津市委员会综合服务中心共有车辆0辆，其中：副部（省）级及以上领导用车0辆、主要</w:t>
      </w:r>
      <w:r>
        <w:rPr>
          <w:rFonts w:hint="eastAsia" w:ascii="宋体" w:hAnsi="宋体" w:eastAsia="方正仿宋简体" w:cs="仿宋_GB2312"/>
          <w:sz w:val="32"/>
          <w:szCs w:val="32"/>
          <w:highlight w:val="none"/>
          <w:lang w:val="en-US" w:eastAsia="zh-CN"/>
        </w:rPr>
        <w:t>负责人</w:t>
      </w:r>
      <w:r>
        <w:rPr>
          <w:rFonts w:hint="eastAsia" w:ascii="宋体" w:hAnsi="宋体" w:eastAsia="方正仿宋简体" w:cs="仿宋_GB2312"/>
          <w:sz w:val="32"/>
          <w:szCs w:val="32"/>
          <w:highlight w:val="none"/>
          <w:lang w:val="zh-CN" w:eastAsia="zh-CN"/>
        </w:rPr>
        <w:t>用车0辆、机要通信用车0辆、应急保障用车0辆、执法执勤用车0辆、特种专业技术用车0辆、离退休干部</w:t>
      </w:r>
      <w:r>
        <w:rPr>
          <w:rFonts w:hint="eastAsia" w:ascii="宋体" w:hAnsi="宋体" w:eastAsia="方正仿宋简体" w:cs="仿宋_GB2312"/>
          <w:sz w:val="32"/>
          <w:szCs w:val="32"/>
          <w:highlight w:val="none"/>
          <w:lang w:val="en-US" w:eastAsia="zh-CN"/>
        </w:rPr>
        <w:t>服务</w:t>
      </w:r>
      <w:r>
        <w:rPr>
          <w:rFonts w:hint="eastAsia" w:ascii="宋体" w:hAnsi="宋体" w:eastAsia="方正仿宋简体" w:cs="仿宋_GB2312"/>
          <w:sz w:val="32"/>
          <w:szCs w:val="32"/>
          <w:highlight w:val="none"/>
          <w:lang w:val="zh-CN" w:eastAsia="zh-CN"/>
        </w:rPr>
        <w:t>用车0辆、其他用车0辆，其他用车主要包括无。单价100万元以上的设备0台（套）。</w:t>
      </w:r>
    </w:p>
    <w:p>
      <w:pPr>
        <w:keepNext w:val="0"/>
        <w:keepLines w:val="0"/>
        <w:pageBreakBefore w:val="0"/>
        <w:widowControl w:val="0"/>
        <w:kinsoku/>
        <w:wordWrap/>
        <w:overflowPunct/>
        <w:topLinePunct w:val="0"/>
        <w:autoSpaceDE w:val="0"/>
        <w:autoSpaceDN w:val="0"/>
        <w:bidi w:val="0"/>
        <w:adjustRightInd w:val="0"/>
        <w:snapToGrid/>
        <w:spacing w:line="588" w:lineRule="exact"/>
        <w:ind w:firstLine="640" w:firstLineChars="200"/>
        <w:jc w:val="left"/>
        <w:textAlignment w:val="auto"/>
        <w:rPr>
          <w:rFonts w:hint="eastAsia" w:ascii="宋体" w:hAnsi="宋体" w:eastAsia="方正仿宋简体" w:cs="仿宋_GB2312"/>
          <w:sz w:val="32"/>
          <w:szCs w:val="32"/>
          <w:highlight w:val="none"/>
          <w:lang w:val="zh-CN" w:eastAsia="zh-CN"/>
        </w:rPr>
      </w:pPr>
      <w:r>
        <w:rPr>
          <w:rFonts w:hint="eastAsia" w:ascii="宋体" w:hAnsi="宋体" w:eastAsia="方正仿宋简体" w:cs="仿宋_GB2312"/>
          <w:sz w:val="32"/>
          <w:szCs w:val="32"/>
          <w:highlight w:val="none"/>
          <w:lang w:val="zh-CN" w:eastAsia="zh-CN"/>
        </w:rPr>
        <w:t>共青团天津市委员会综合服务中心2023年度无国有资产占有使用情况。</w:t>
      </w:r>
    </w:p>
    <w:p>
      <w:pPr>
        <w:keepNext/>
        <w:keepLines/>
        <w:pageBreakBefore w:val="0"/>
        <w:widowControl w:val="0"/>
        <w:kinsoku/>
        <w:wordWrap/>
        <w:overflowPunct/>
        <w:topLinePunct w:val="0"/>
        <w:autoSpaceDE w:val="0"/>
        <w:autoSpaceDN w:val="0"/>
        <w:bidi w:val="0"/>
        <w:adjustRightInd w:val="0"/>
        <w:snapToGrid/>
        <w:spacing w:line="588" w:lineRule="exact"/>
        <w:ind w:firstLine="640" w:firstLineChars="200"/>
        <w:jc w:val="left"/>
        <w:textAlignment w:val="auto"/>
        <w:outlineLvl w:val="1"/>
        <w:rPr>
          <w:rFonts w:hint="eastAsia" w:ascii="Times New Roman" w:hAnsi="Times New Roman" w:eastAsia="黑体" w:cs="黑体"/>
          <w:b w:val="0"/>
          <w:bCs w:val="0"/>
          <w:kern w:val="0"/>
          <w:sz w:val="32"/>
          <w:szCs w:val="32"/>
          <w:highlight w:val="none"/>
        </w:rPr>
      </w:pPr>
      <w:r>
        <w:rPr>
          <w:rFonts w:hint="eastAsia" w:ascii="Times New Roman" w:hAnsi="Times New Roman" w:eastAsia="黑体" w:cs="黑体"/>
          <w:b w:val="0"/>
          <w:bCs w:val="0"/>
          <w:kern w:val="0"/>
          <w:sz w:val="32"/>
          <w:szCs w:val="32"/>
          <w:highlight w:val="none"/>
          <w:lang w:val="zh-CN"/>
        </w:rPr>
        <w:t>十三、</w:t>
      </w:r>
      <w:r>
        <w:rPr>
          <w:rFonts w:hint="eastAsia" w:ascii="Times New Roman" w:hAnsi="Times New Roman" w:eastAsia="黑体" w:cs="黑体"/>
          <w:b w:val="0"/>
          <w:bCs w:val="0"/>
          <w:kern w:val="0"/>
          <w:sz w:val="32"/>
          <w:szCs w:val="32"/>
          <w:highlight w:val="none"/>
        </w:rPr>
        <w:t>预算绩效情况说明</w:t>
      </w:r>
    </w:p>
    <w:p>
      <w:pPr>
        <w:keepNext w:val="0"/>
        <w:keepLines w:val="0"/>
        <w:pageBreakBefore w:val="0"/>
        <w:widowControl w:val="0"/>
        <w:kinsoku/>
        <w:wordWrap/>
        <w:overflowPunct/>
        <w:topLinePunct w:val="0"/>
        <w:autoSpaceDE w:val="0"/>
        <w:autoSpaceDN w:val="0"/>
        <w:bidi w:val="0"/>
        <w:adjustRightInd w:val="0"/>
        <w:snapToGrid/>
        <w:spacing w:line="588" w:lineRule="exact"/>
        <w:ind w:firstLine="640" w:firstLineChars="200"/>
        <w:jc w:val="left"/>
        <w:textAlignment w:val="auto"/>
        <w:rPr>
          <w:rFonts w:hint="eastAsia" w:ascii="宋体" w:hAnsi="宋体" w:eastAsia="方正仿宋简体" w:cs="仿宋_GB2312"/>
          <w:sz w:val="32"/>
          <w:szCs w:val="32"/>
          <w:highlight w:val="none"/>
          <w:lang w:val="zh-CN" w:eastAsia="zh-CN"/>
        </w:rPr>
      </w:pPr>
      <w:r>
        <w:rPr>
          <w:rFonts w:hint="eastAsia" w:ascii="宋体" w:hAnsi="宋体" w:eastAsia="方正仿宋简体" w:cs="仿宋_GB2312"/>
          <w:sz w:val="32"/>
          <w:szCs w:val="32"/>
          <w:highlight w:val="none"/>
          <w:lang w:val="zh-CN" w:eastAsia="zh-CN"/>
        </w:rPr>
        <w:t>根据预算绩效管理要求，共青团天津市委员会综合服务中心2023年度已对1个市级项目开展绩效自评，涉及金额39,202.00元，自评结果已随部门决算一并公开。</w:t>
      </w:r>
    </w:p>
    <w:p>
      <w:pPr>
        <w:keepNext/>
        <w:keepLines/>
        <w:pageBreakBefore w:val="0"/>
        <w:widowControl w:val="0"/>
        <w:kinsoku/>
        <w:wordWrap/>
        <w:overflowPunct/>
        <w:topLinePunct w:val="0"/>
        <w:autoSpaceDE w:val="0"/>
        <w:autoSpaceDN w:val="0"/>
        <w:bidi w:val="0"/>
        <w:adjustRightInd w:val="0"/>
        <w:snapToGrid/>
        <w:spacing w:line="588" w:lineRule="exact"/>
        <w:ind w:firstLine="640" w:firstLineChars="200"/>
        <w:jc w:val="left"/>
        <w:textAlignment w:val="auto"/>
        <w:outlineLvl w:val="1"/>
        <w:rPr>
          <w:rFonts w:hint="eastAsia" w:ascii="Times New Roman" w:hAnsi="Times New Roman" w:eastAsia="仿宋_GB2312" w:cs="仿宋_GB2312"/>
          <w:b w:val="0"/>
          <w:bCs w:val="0"/>
          <w:kern w:val="0"/>
          <w:sz w:val="32"/>
          <w:szCs w:val="32"/>
          <w:highlight w:val="none"/>
        </w:rPr>
      </w:pPr>
      <w:r>
        <w:rPr>
          <w:rFonts w:hint="eastAsia" w:ascii="Times New Roman" w:hAnsi="Times New Roman" w:eastAsia="黑体" w:cs="黑体"/>
          <w:b w:val="0"/>
          <w:bCs w:val="0"/>
          <w:kern w:val="0"/>
          <w:sz w:val="32"/>
          <w:szCs w:val="32"/>
          <w:highlight w:val="none"/>
          <w:lang w:val="zh-CN"/>
        </w:rPr>
        <w:t>十四、</w:t>
      </w:r>
      <w:r>
        <w:rPr>
          <w:rFonts w:hint="eastAsia" w:ascii="Times New Roman" w:hAnsi="Times New Roman" w:eastAsia="黑体" w:cs="黑体"/>
          <w:b w:val="0"/>
          <w:bCs w:val="0"/>
          <w:kern w:val="0"/>
          <w:sz w:val="32"/>
          <w:szCs w:val="32"/>
          <w:highlight w:val="none"/>
        </w:rPr>
        <w:t>教育、医疗卫生、社会保障和就业、住房保障、涉农补贴等民生支出情况说明</w:t>
      </w:r>
    </w:p>
    <w:p>
      <w:pPr>
        <w:pageBreakBefore w:val="0"/>
        <w:widowControl w:val="0"/>
        <w:kinsoku/>
        <w:wordWrap/>
        <w:overflowPunct/>
        <w:topLinePunct w:val="0"/>
        <w:autoSpaceDE w:val="0"/>
        <w:autoSpaceDN w:val="0"/>
        <w:bidi w:val="0"/>
        <w:adjustRightInd w:val="0"/>
        <w:snapToGrid/>
        <w:spacing w:line="588" w:lineRule="exact"/>
        <w:ind w:firstLine="600"/>
        <w:jc w:val="left"/>
        <w:textAlignment w:val="auto"/>
        <w:rPr>
          <w:rFonts w:hint="eastAsia" w:ascii="Times New Roman" w:hAnsi="Times New Roman" w:eastAsia="仿宋_GB2312" w:cs="仿宋_GB2312"/>
          <w:kern w:val="0"/>
          <w:sz w:val="32"/>
          <w:szCs w:val="32"/>
          <w:highlight w:val="none"/>
        </w:rPr>
      </w:pPr>
      <w:r>
        <w:rPr>
          <w:rFonts w:hint="eastAsia" w:ascii="宋体" w:hAnsi="宋体" w:eastAsia="方正仿宋简体" w:cs="仿宋_GB2312"/>
          <w:sz w:val="32"/>
          <w:szCs w:val="32"/>
          <w:highlight w:val="none"/>
          <w:lang w:val="zh-CN" w:eastAsia="zh-CN"/>
        </w:rPr>
        <w:t>共青团天津市委员会综合服务中心不属于乡、镇、街级单位，不涉及公开2023年度教育、医疗卫生、社会保障和就业、住房保障、涉农补贴等民生支出情况。</w:t>
      </w:r>
    </w:p>
    <w:p>
      <w:pPr>
        <w:autoSpaceDE w:val="0"/>
        <w:autoSpaceDN w:val="0"/>
        <w:adjustRightInd w:val="0"/>
        <w:jc w:val="left"/>
        <w:rPr>
          <w:rFonts w:ascii="Times New Roman" w:hAnsi="Times New Roman" w:eastAsia="仿宋_GB2312" w:cs="仿宋_GB2312"/>
          <w:b/>
          <w:bCs/>
          <w:color w:val="000000"/>
          <w:kern w:val="0"/>
          <w:sz w:val="30"/>
          <w:szCs w:val="30"/>
          <w:highlight w:val="none"/>
        </w:rPr>
      </w:pPr>
      <w:r>
        <w:rPr>
          <w:rFonts w:ascii="Times New Roman" w:hAnsi="Times New Roman" w:eastAsia="仿宋_GB2312" w:cs="仿宋_GB2312"/>
          <w:b/>
          <w:bCs/>
          <w:color w:val="000000"/>
          <w:kern w:val="0"/>
          <w:sz w:val="30"/>
          <w:szCs w:val="30"/>
          <w:highlight w:val="none"/>
        </w:rPr>
        <w:br w:type="page"/>
      </w:r>
    </w:p>
    <w:p>
      <w:pPr>
        <w:keepNext/>
        <w:keepLines/>
        <w:autoSpaceDE w:val="0"/>
        <w:autoSpaceDN w:val="0"/>
        <w:adjustRightInd w:val="0"/>
        <w:spacing w:line="600" w:lineRule="exact"/>
        <w:jc w:val="center"/>
        <w:outlineLvl w:val="0"/>
        <w:rPr>
          <w:rFonts w:ascii="Times New Roman" w:hAnsi="Times New Roman" w:eastAsia="方正小标宋简体" w:cs="方正小标宋简体"/>
          <w:kern w:val="44"/>
          <w:sz w:val="44"/>
          <w:szCs w:val="44"/>
          <w:highlight w:val="none"/>
        </w:rPr>
      </w:pPr>
      <w:r>
        <w:rPr>
          <w:rFonts w:hint="eastAsia" w:ascii="Times New Roman" w:hAnsi="Times New Roman" w:eastAsia="方正小标宋简体" w:cs="方正小标宋简体"/>
          <w:kern w:val="44"/>
          <w:sz w:val="44"/>
          <w:szCs w:val="44"/>
          <w:highlight w:val="none"/>
        </w:rPr>
        <w:t>第四部分名词解释</w:t>
      </w:r>
    </w:p>
    <w:p>
      <w:pPr>
        <w:autoSpaceDE w:val="0"/>
        <w:autoSpaceDN w:val="0"/>
        <w:adjustRightInd w:val="0"/>
        <w:spacing w:line="600" w:lineRule="exact"/>
        <w:ind w:firstLine="600"/>
        <w:jc w:val="left"/>
        <w:rPr>
          <w:rFonts w:ascii="Times New Roman" w:hAnsi="Times New Roman" w:eastAsia="仿宋_GB2312" w:cs="仿宋_GB2312"/>
          <w:kern w:val="0"/>
          <w:sz w:val="30"/>
          <w:szCs w:val="30"/>
          <w:highlight w:val="none"/>
        </w:rPr>
      </w:pP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宋体" w:hAnsi="宋体" w:eastAsia="方正仿宋简体" w:cs="仿宋_GB2312"/>
          <w:sz w:val="32"/>
          <w:szCs w:val="32"/>
          <w:highlight w:val="none"/>
          <w:lang w:val="zh-CN" w:eastAsia="zh-CN"/>
        </w:rPr>
      </w:pPr>
      <w:r>
        <w:rPr>
          <w:rFonts w:hint="eastAsia" w:ascii="宋体" w:hAnsi="宋体" w:eastAsia="方正仿宋简体" w:cs="仿宋_GB2312"/>
          <w:sz w:val="32"/>
          <w:szCs w:val="32"/>
          <w:highlight w:val="none"/>
          <w:lang w:val="en-US" w:eastAsia="zh-CN"/>
        </w:rPr>
        <w:t>1</w:t>
      </w:r>
      <w:r>
        <w:rPr>
          <w:rFonts w:hint="eastAsia" w:ascii="宋体" w:hAnsi="宋体" w:eastAsia="方正仿宋简体" w:cs="仿宋_GB2312"/>
          <w:sz w:val="32"/>
          <w:szCs w:val="32"/>
          <w:highlight w:val="none"/>
          <w:lang w:val="zh-CN" w:eastAsia="zh-CN"/>
        </w:rPr>
        <w:t>.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宋体" w:hAnsi="宋体" w:eastAsia="方正仿宋简体" w:cs="仿宋_GB2312"/>
          <w:sz w:val="32"/>
          <w:szCs w:val="32"/>
          <w:highlight w:val="none"/>
          <w:lang w:val="zh-CN" w:eastAsia="zh-CN"/>
        </w:rPr>
      </w:pPr>
      <w:r>
        <w:rPr>
          <w:rFonts w:hint="eastAsia" w:ascii="宋体" w:hAnsi="宋体" w:eastAsia="方正仿宋简体" w:cs="仿宋_GB2312"/>
          <w:sz w:val="32"/>
          <w:szCs w:val="32"/>
          <w:highlight w:val="none"/>
          <w:lang w:val="zh-CN" w:eastAsia="zh-CN"/>
        </w:rPr>
        <w:t>2.机关运行经费。反映为保障行政单位（含参照公务员管理事业单位）运行用于购买货物和服务的各项资金，包括办公及印刷费、邮电费、差旅费、会议费、福利费、日常维修费及一般设备购置费、办公用房水电费、办公用房取暖费、办公用房物业管理费、公务用车运行维护费以及其他费用。</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宋体" w:hAnsi="宋体" w:eastAsia="方正仿宋简体" w:cs="仿宋_GB2312"/>
          <w:sz w:val="32"/>
          <w:szCs w:val="32"/>
          <w:highlight w:val="none"/>
          <w:lang w:val="zh-CN" w:eastAsia="zh-CN"/>
        </w:rPr>
      </w:pPr>
      <w:r>
        <w:rPr>
          <w:rFonts w:hint="eastAsia" w:ascii="宋体" w:hAnsi="宋体" w:eastAsia="方正仿宋简体" w:cs="仿宋_GB2312"/>
          <w:sz w:val="32"/>
          <w:szCs w:val="32"/>
          <w:highlight w:val="none"/>
          <w:lang w:val="zh-CN" w:eastAsia="zh-CN"/>
        </w:rPr>
        <w:t>3.“三公”经费。是指各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燃料费、维修费、过桥过路费、保险费、安全奖励费用等支出；公务接待费反映单位按规定开支的各类公务接待（含外宾接待）支出。</w:t>
      </w:r>
    </w:p>
    <w:sectPr>
      <w:footerReference r:id="rId3" w:type="default"/>
      <w:pgSz w:w="12240" w:h="15840"/>
      <w:pgMar w:top="2041" w:right="1559" w:bottom="1701" w:left="1559" w:header="720" w:footer="720" w:gutter="0"/>
      <w:pgNumType w:fmt="numberInDash" w:start="1"/>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等线">
    <w:panose1 w:val="02010600030101010101"/>
    <w:charset w:val="86"/>
    <w:family w:val="auto"/>
    <w:pitch w:val="default"/>
    <w:sig w:usb0="A00002BF" w:usb1="38CF7CFA" w:usb2="00000016" w:usb3="00000000" w:csb0="0004000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仿宋简体">
    <w:panose1 w:val="03000509000000000000"/>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Fonts w:hint="eastAsia" w:eastAsiaTheme="minorEastAsia"/>
                              <w:sz w:val="21"/>
                              <w:szCs w:val="21"/>
                              <w:lang w:eastAsia="zh-CN"/>
                            </w:rPr>
                          </w:pPr>
                          <w:r>
                            <w:rPr>
                              <w:rFonts w:hint="eastAsia"/>
                              <w:sz w:val="21"/>
                              <w:szCs w:val="21"/>
                              <w:lang w:eastAsia="zh-CN"/>
                            </w:rPr>
                            <w:fldChar w:fldCharType="begin"/>
                          </w:r>
                          <w:r>
                            <w:rPr>
                              <w:rFonts w:hint="eastAsia"/>
                              <w:sz w:val="21"/>
                              <w:szCs w:val="21"/>
                              <w:lang w:eastAsia="zh-CN"/>
                            </w:rPr>
                            <w:instrText xml:space="preserve"> PAGE  \* MERGEFORMAT </w:instrText>
                          </w:r>
                          <w:r>
                            <w:rPr>
                              <w:rFonts w:hint="eastAsia"/>
                              <w:sz w:val="21"/>
                              <w:szCs w:val="21"/>
                              <w:lang w:eastAsia="zh-CN"/>
                            </w:rPr>
                            <w:fldChar w:fldCharType="separate"/>
                          </w:r>
                          <w:r>
                            <w:rPr>
                              <w:rFonts w:hint="eastAsia"/>
                              <w:sz w:val="21"/>
                              <w:szCs w:val="21"/>
                              <w:lang w:eastAsia="zh-CN"/>
                            </w:rPr>
                            <w:t>4</w:t>
                          </w:r>
                          <w:r>
                            <w:rPr>
                              <w:rFonts w:hint="eastAsia"/>
                              <w:sz w:val="21"/>
                              <w:szCs w:val="21"/>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5"/>
                      <w:rPr>
                        <w:rFonts w:hint="eastAsia" w:eastAsiaTheme="minorEastAsia"/>
                        <w:sz w:val="21"/>
                        <w:szCs w:val="21"/>
                        <w:lang w:eastAsia="zh-CN"/>
                      </w:rPr>
                    </w:pPr>
                    <w:r>
                      <w:rPr>
                        <w:rFonts w:hint="eastAsia"/>
                        <w:sz w:val="21"/>
                        <w:szCs w:val="21"/>
                        <w:lang w:eastAsia="zh-CN"/>
                      </w:rPr>
                      <w:fldChar w:fldCharType="begin"/>
                    </w:r>
                    <w:r>
                      <w:rPr>
                        <w:rFonts w:hint="eastAsia"/>
                        <w:sz w:val="21"/>
                        <w:szCs w:val="21"/>
                        <w:lang w:eastAsia="zh-CN"/>
                      </w:rPr>
                      <w:instrText xml:space="preserve"> PAGE  \* MERGEFORMAT </w:instrText>
                    </w:r>
                    <w:r>
                      <w:rPr>
                        <w:rFonts w:hint="eastAsia"/>
                        <w:sz w:val="21"/>
                        <w:szCs w:val="21"/>
                        <w:lang w:eastAsia="zh-CN"/>
                      </w:rPr>
                      <w:fldChar w:fldCharType="separate"/>
                    </w:r>
                    <w:r>
                      <w:rPr>
                        <w:rFonts w:hint="eastAsia"/>
                        <w:sz w:val="21"/>
                        <w:szCs w:val="21"/>
                        <w:lang w:eastAsia="zh-CN"/>
                      </w:rPr>
                      <w:t>4</w:t>
                    </w:r>
                    <w:r>
                      <w:rPr>
                        <w:rFonts w:hint="eastAsia"/>
                        <w:sz w:val="21"/>
                        <w:szCs w:val="21"/>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gyYTYxNzQwYTk1MDM4YTdjNWU4MGNkZGU0MzE1ZTMifQ=="/>
  </w:docVars>
  <w:rsids>
    <w:rsidRoot w:val="006A094D"/>
    <w:rsid w:val="00013A12"/>
    <w:rsid w:val="0002687D"/>
    <w:rsid w:val="00047C6F"/>
    <w:rsid w:val="000528EE"/>
    <w:rsid w:val="000719FD"/>
    <w:rsid w:val="000B5C71"/>
    <w:rsid w:val="000D4B98"/>
    <w:rsid w:val="00127EFA"/>
    <w:rsid w:val="00142888"/>
    <w:rsid w:val="00152EEB"/>
    <w:rsid w:val="00153077"/>
    <w:rsid w:val="00167CB7"/>
    <w:rsid w:val="001A0E4F"/>
    <w:rsid w:val="001B5C3C"/>
    <w:rsid w:val="001C0399"/>
    <w:rsid w:val="001D587E"/>
    <w:rsid w:val="002124F6"/>
    <w:rsid w:val="00264B59"/>
    <w:rsid w:val="002A4997"/>
    <w:rsid w:val="002E6086"/>
    <w:rsid w:val="00302490"/>
    <w:rsid w:val="003227B2"/>
    <w:rsid w:val="003536BE"/>
    <w:rsid w:val="003B25FB"/>
    <w:rsid w:val="004A482F"/>
    <w:rsid w:val="004F39BF"/>
    <w:rsid w:val="005062D7"/>
    <w:rsid w:val="005175E6"/>
    <w:rsid w:val="00525157"/>
    <w:rsid w:val="005349A2"/>
    <w:rsid w:val="00575537"/>
    <w:rsid w:val="005D1367"/>
    <w:rsid w:val="005D3F56"/>
    <w:rsid w:val="00654D17"/>
    <w:rsid w:val="006623EC"/>
    <w:rsid w:val="006A094D"/>
    <w:rsid w:val="006D2409"/>
    <w:rsid w:val="006E65DB"/>
    <w:rsid w:val="00776FF3"/>
    <w:rsid w:val="0078156E"/>
    <w:rsid w:val="00786E74"/>
    <w:rsid w:val="007D1285"/>
    <w:rsid w:val="007E49E1"/>
    <w:rsid w:val="007F6DA7"/>
    <w:rsid w:val="008174D5"/>
    <w:rsid w:val="00885126"/>
    <w:rsid w:val="0089698B"/>
    <w:rsid w:val="008D48A9"/>
    <w:rsid w:val="00941A30"/>
    <w:rsid w:val="00977DCC"/>
    <w:rsid w:val="009820CF"/>
    <w:rsid w:val="00982A8B"/>
    <w:rsid w:val="009A7ED3"/>
    <w:rsid w:val="009D74D7"/>
    <w:rsid w:val="00A57AE7"/>
    <w:rsid w:val="00AF71AE"/>
    <w:rsid w:val="00B33C70"/>
    <w:rsid w:val="00B75228"/>
    <w:rsid w:val="00B811F1"/>
    <w:rsid w:val="00B81B9F"/>
    <w:rsid w:val="00BC763A"/>
    <w:rsid w:val="00BC7D6F"/>
    <w:rsid w:val="00BD3CAC"/>
    <w:rsid w:val="00BF697A"/>
    <w:rsid w:val="00C52E77"/>
    <w:rsid w:val="00C65A44"/>
    <w:rsid w:val="00C76AC3"/>
    <w:rsid w:val="00C83EB4"/>
    <w:rsid w:val="00D4505A"/>
    <w:rsid w:val="00D65B41"/>
    <w:rsid w:val="00DC3234"/>
    <w:rsid w:val="00DC3CD0"/>
    <w:rsid w:val="00DD60B5"/>
    <w:rsid w:val="00E7602B"/>
    <w:rsid w:val="00E964B2"/>
    <w:rsid w:val="00EA6549"/>
    <w:rsid w:val="00F007FE"/>
    <w:rsid w:val="017D4A3B"/>
    <w:rsid w:val="01A10E80"/>
    <w:rsid w:val="029D518A"/>
    <w:rsid w:val="03311B3F"/>
    <w:rsid w:val="03901927"/>
    <w:rsid w:val="05CA273A"/>
    <w:rsid w:val="05E55C53"/>
    <w:rsid w:val="069A035E"/>
    <w:rsid w:val="07267E44"/>
    <w:rsid w:val="07425D24"/>
    <w:rsid w:val="07A23238"/>
    <w:rsid w:val="085D1644"/>
    <w:rsid w:val="0A7D5D1A"/>
    <w:rsid w:val="0AF018E5"/>
    <w:rsid w:val="0B1428B6"/>
    <w:rsid w:val="0B2716A6"/>
    <w:rsid w:val="0B2E72C7"/>
    <w:rsid w:val="0C411F0C"/>
    <w:rsid w:val="0CDD71F7"/>
    <w:rsid w:val="0D664210"/>
    <w:rsid w:val="0DA7267B"/>
    <w:rsid w:val="0DFB4FC0"/>
    <w:rsid w:val="0E267459"/>
    <w:rsid w:val="0EBB5316"/>
    <w:rsid w:val="0F4936D8"/>
    <w:rsid w:val="0FC42B69"/>
    <w:rsid w:val="0FF22FB9"/>
    <w:rsid w:val="118916FB"/>
    <w:rsid w:val="1221675E"/>
    <w:rsid w:val="12C34799"/>
    <w:rsid w:val="12D93FBD"/>
    <w:rsid w:val="13463246"/>
    <w:rsid w:val="142D4C1F"/>
    <w:rsid w:val="15F1161D"/>
    <w:rsid w:val="161D1413"/>
    <w:rsid w:val="1666200B"/>
    <w:rsid w:val="16C5644A"/>
    <w:rsid w:val="16D76A65"/>
    <w:rsid w:val="17C84C4C"/>
    <w:rsid w:val="1949378C"/>
    <w:rsid w:val="199A3054"/>
    <w:rsid w:val="1A1104E0"/>
    <w:rsid w:val="1A404E9F"/>
    <w:rsid w:val="1AA54268"/>
    <w:rsid w:val="1B173F14"/>
    <w:rsid w:val="1B4641B9"/>
    <w:rsid w:val="1B520DB0"/>
    <w:rsid w:val="1B5D5A1E"/>
    <w:rsid w:val="1B7A68EC"/>
    <w:rsid w:val="1CCA277E"/>
    <w:rsid w:val="1DFB572F"/>
    <w:rsid w:val="1EC5396A"/>
    <w:rsid w:val="1EFB0588"/>
    <w:rsid w:val="20DB5BFD"/>
    <w:rsid w:val="21365D81"/>
    <w:rsid w:val="21556D90"/>
    <w:rsid w:val="21C24E94"/>
    <w:rsid w:val="21D73FEC"/>
    <w:rsid w:val="23736675"/>
    <w:rsid w:val="24B227A0"/>
    <w:rsid w:val="25BA7C7E"/>
    <w:rsid w:val="2666570F"/>
    <w:rsid w:val="26DB4B05"/>
    <w:rsid w:val="271B299E"/>
    <w:rsid w:val="27DD7C53"/>
    <w:rsid w:val="284E3F62"/>
    <w:rsid w:val="28612632"/>
    <w:rsid w:val="2A924D25"/>
    <w:rsid w:val="2BC20F83"/>
    <w:rsid w:val="2C800474"/>
    <w:rsid w:val="2C8F0671"/>
    <w:rsid w:val="2D5A0475"/>
    <w:rsid w:val="2DA05507"/>
    <w:rsid w:val="2E487134"/>
    <w:rsid w:val="2E8C3709"/>
    <w:rsid w:val="2F146650"/>
    <w:rsid w:val="2FA13000"/>
    <w:rsid w:val="2FC74096"/>
    <w:rsid w:val="2FF951BC"/>
    <w:rsid w:val="307A24E3"/>
    <w:rsid w:val="307A6987"/>
    <w:rsid w:val="30BB5227"/>
    <w:rsid w:val="313F372D"/>
    <w:rsid w:val="32146967"/>
    <w:rsid w:val="32443D30"/>
    <w:rsid w:val="32672F3B"/>
    <w:rsid w:val="33032C66"/>
    <w:rsid w:val="332D3FC0"/>
    <w:rsid w:val="354D7E20"/>
    <w:rsid w:val="35747E49"/>
    <w:rsid w:val="35823AFA"/>
    <w:rsid w:val="358C1096"/>
    <w:rsid w:val="35B6328D"/>
    <w:rsid w:val="35F44AE6"/>
    <w:rsid w:val="36144696"/>
    <w:rsid w:val="36580FD3"/>
    <w:rsid w:val="381E22EE"/>
    <w:rsid w:val="3AF76503"/>
    <w:rsid w:val="3B0209DD"/>
    <w:rsid w:val="3B0C198B"/>
    <w:rsid w:val="3B483C6E"/>
    <w:rsid w:val="3B776F10"/>
    <w:rsid w:val="3B7C7A57"/>
    <w:rsid w:val="3B8E1539"/>
    <w:rsid w:val="3D600CB3"/>
    <w:rsid w:val="3E426F14"/>
    <w:rsid w:val="3EB42189"/>
    <w:rsid w:val="3EC62D97"/>
    <w:rsid w:val="3EEF0B4C"/>
    <w:rsid w:val="3EF16375"/>
    <w:rsid w:val="3F2006FA"/>
    <w:rsid w:val="40CF0629"/>
    <w:rsid w:val="4137238C"/>
    <w:rsid w:val="41CC0838"/>
    <w:rsid w:val="43612B5A"/>
    <w:rsid w:val="43805C0B"/>
    <w:rsid w:val="43B835F7"/>
    <w:rsid w:val="44552CED"/>
    <w:rsid w:val="44EB17AA"/>
    <w:rsid w:val="45984C48"/>
    <w:rsid w:val="47727F60"/>
    <w:rsid w:val="485D29BF"/>
    <w:rsid w:val="49374433"/>
    <w:rsid w:val="49400559"/>
    <w:rsid w:val="49DA103E"/>
    <w:rsid w:val="4A2319E6"/>
    <w:rsid w:val="4A8E57CD"/>
    <w:rsid w:val="4CA13CE1"/>
    <w:rsid w:val="4CD450D8"/>
    <w:rsid w:val="4D14664A"/>
    <w:rsid w:val="4D210FC7"/>
    <w:rsid w:val="4D720D77"/>
    <w:rsid w:val="4DB9688D"/>
    <w:rsid w:val="4E4E3945"/>
    <w:rsid w:val="4E8C7B5A"/>
    <w:rsid w:val="4F167E2F"/>
    <w:rsid w:val="4F391364"/>
    <w:rsid w:val="4FA424E7"/>
    <w:rsid w:val="4FBD62FD"/>
    <w:rsid w:val="4FD337AC"/>
    <w:rsid w:val="4FE523CE"/>
    <w:rsid w:val="5236167C"/>
    <w:rsid w:val="52A37398"/>
    <w:rsid w:val="53C102A5"/>
    <w:rsid w:val="54380029"/>
    <w:rsid w:val="54A61249"/>
    <w:rsid w:val="54F16968"/>
    <w:rsid w:val="55AC416B"/>
    <w:rsid w:val="564C0516"/>
    <w:rsid w:val="5713248B"/>
    <w:rsid w:val="57833AC4"/>
    <w:rsid w:val="578735B4"/>
    <w:rsid w:val="58C3061C"/>
    <w:rsid w:val="58E93DFA"/>
    <w:rsid w:val="599E4BE5"/>
    <w:rsid w:val="5A1C0F73"/>
    <w:rsid w:val="5A964C59"/>
    <w:rsid w:val="5AC44909"/>
    <w:rsid w:val="5C170425"/>
    <w:rsid w:val="5CD612EB"/>
    <w:rsid w:val="5D032E6E"/>
    <w:rsid w:val="5DC66F7C"/>
    <w:rsid w:val="5DFB2606"/>
    <w:rsid w:val="5E015742"/>
    <w:rsid w:val="5EB1144C"/>
    <w:rsid w:val="5EF37781"/>
    <w:rsid w:val="5F6D7131"/>
    <w:rsid w:val="5F7856C5"/>
    <w:rsid w:val="5FF67529"/>
    <w:rsid w:val="615900E7"/>
    <w:rsid w:val="61D75AE1"/>
    <w:rsid w:val="620B43D3"/>
    <w:rsid w:val="624C1682"/>
    <w:rsid w:val="63B80927"/>
    <w:rsid w:val="643C1F0A"/>
    <w:rsid w:val="644D16E1"/>
    <w:rsid w:val="64925346"/>
    <w:rsid w:val="654D2EBE"/>
    <w:rsid w:val="654E5711"/>
    <w:rsid w:val="656942F9"/>
    <w:rsid w:val="65B558C0"/>
    <w:rsid w:val="665D659A"/>
    <w:rsid w:val="667274BD"/>
    <w:rsid w:val="66BC2A82"/>
    <w:rsid w:val="672E57FA"/>
    <w:rsid w:val="68200AB4"/>
    <w:rsid w:val="68C169D0"/>
    <w:rsid w:val="6B4F5D3F"/>
    <w:rsid w:val="6B963EB9"/>
    <w:rsid w:val="6BBB51FE"/>
    <w:rsid w:val="6BF54B38"/>
    <w:rsid w:val="6C054650"/>
    <w:rsid w:val="6C1D5E3D"/>
    <w:rsid w:val="6CF70A69"/>
    <w:rsid w:val="6CFE17CB"/>
    <w:rsid w:val="6D5E0469"/>
    <w:rsid w:val="6D854C1A"/>
    <w:rsid w:val="6E080CF4"/>
    <w:rsid w:val="6EB34837"/>
    <w:rsid w:val="70180DF5"/>
    <w:rsid w:val="704716DB"/>
    <w:rsid w:val="708C6A78"/>
    <w:rsid w:val="70C46832"/>
    <w:rsid w:val="70E84C6C"/>
    <w:rsid w:val="70FE35D3"/>
    <w:rsid w:val="71600CA6"/>
    <w:rsid w:val="7260119C"/>
    <w:rsid w:val="72701CEB"/>
    <w:rsid w:val="72B3615B"/>
    <w:rsid w:val="73724CC1"/>
    <w:rsid w:val="7455465F"/>
    <w:rsid w:val="75AB44BA"/>
    <w:rsid w:val="79B7155B"/>
    <w:rsid w:val="79DC07A5"/>
    <w:rsid w:val="7ACA53E2"/>
    <w:rsid w:val="7B143565"/>
    <w:rsid w:val="7E2E7A36"/>
    <w:rsid w:val="7E703A39"/>
    <w:rsid w:val="7F3217A8"/>
    <w:rsid w:val="7FDD79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等线" w:hAnsi="等线" w:eastAsia="等线"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styleId="2">
    <w:name w:val="heading 1"/>
    <w:basedOn w:val="1"/>
    <w:next w:val="1"/>
    <w:link w:val="9"/>
    <w:qFormat/>
    <w:uiPriority w:val="99"/>
    <w:pPr>
      <w:autoSpaceDE w:val="0"/>
      <w:autoSpaceDN w:val="0"/>
      <w:adjustRightInd w:val="0"/>
      <w:jc w:val="left"/>
      <w:outlineLvl w:val="0"/>
    </w:pPr>
    <w:rPr>
      <w:rFonts w:ascii="方正小标宋简体" w:eastAsia="方正小标宋简体"/>
      <w:kern w:val="0"/>
      <w:sz w:val="24"/>
      <w:szCs w:val="24"/>
    </w:rPr>
  </w:style>
  <w:style w:type="paragraph" w:styleId="3">
    <w:name w:val="heading 2"/>
    <w:basedOn w:val="1"/>
    <w:next w:val="1"/>
    <w:link w:val="10"/>
    <w:qFormat/>
    <w:uiPriority w:val="99"/>
    <w:pPr>
      <w:autoSpaceDE w:val="0"/>
      <w:autoSpaceDN w:val="0"/>
      <w:adjustRightInd w:val="0"/>
      <w:jc w:val="left"/>
      <w:outlineLvl w:val="1"/>
    </w:pPr>
    <w:rPr>
      <w:rFonts w:ascii="方正小标宋简体" w:eastAsia="方正小标宋简体"/>
      <w:kern w:val="0"/>
      <w:sz w:val="24"/>
      <w:szCs w:val="24"/>
    </w:rPr>
  </w:style>
  <w:style w:type="character" w:default="1" w:styleId="8">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4">
    <w:name w:val="annotation text"/>
    <w:basedOn w:val="1"/>
    <w:semiHidden/>
    <w:unhideWhenUsed/>
    <w:qFormat/>
    <w:uiPriority w:val="99"/>
    <w:pPr>
      <w:jc w:val="left"/>
    </w:pPr>
  </w:style>
  <w:style w:type="paragraph" w:styleId="5">
    <w:name w:val="footer"/>
    <w:basedOn w:val="1"/>
    <w:link w:val="12"/>
    <w:unhideWhenUsed/>
    <w:qFormat/>
    <w:uiPriority w:val="99"/>
    <w:pPr>
      <w:tabs>
        <w:tab w:val="center" w:pos="4153"/>
        <w:tab w:val="right" w:pos="8306"/>
      </w:tabs>
      <w:snapToGrid w:val="0"/>
      <w:jc w:val="left"/>
    </w:pPr>
    <w:rPr>
      <w:sz w:val="18"/>
      <w:szCs w:val="18"/>
    </w:rPr>
  </w:style>
  <w:style w:type="paragraph" w:styleId="6">
    <w:name w:val="header"/>
    <w:basedOn w:val="1"/>
    <w:link w:val="11"/>
    <w:unhideWhenUsed/>
    <w:qFormat/>
    <w:uiPriority w:val="99"/>
    <w:pPr>
      <w:tabs>
        <w:tab w:val="center" w:pos="4153"/>
        <w:tab w:val="right" w:pos="8306"/>
      </w:tabs>
      <w:snapToGrid w:val="0"/>
      <w:jc w:val="center"/>
    </w:pPr>
    <w:rPr>
      <w:sz w:val="18"/>
      <w:szCs w:val="18"/>
    </w:rPr>
  </w:style>
  <w:style w:type="character" w:customStyle="1" w:styleId="9">
    <w:name w:val="标题 1 字符"/>
    <w:basedOn w:val="8"/>
    <w:link w:val="2"/>
    <w:qFormat/>
    <w:uiPriority w:val="99"/>
    <w:rPr>
      <w:rFonts w:ascii="方正小标宋简体" w:eastAsia="方正小标宋简体"/>
      <w:kern w:val="0"/>
      <w:sz w:val="24"/>
      <w:szCs w:val="24"/>
    </w:rPr>
  </w:style>
  <w:style w:type="character" w:customStyle="1" w:styleId="10">
    <w:name w:val="标题 2 字符"/>
    <w:basedOn w:val="8"/>
    <w:link w:val="3"/>
    <w:qFormat/>
    <w:uiPriority w:val="99"/>
    <w:rPr>
      <w:rFonts w:ascii="方正小标宋简体" w:eastAsia="方正小标宋简体"/>
      <w:kern w:val="0"/>
      <w:sz w:val="24"/>
      <w:szCs w:val="24"/>
    </w:rPr>
  </w:style>
  <w:style w:type="character" w:customStyle="1" w:styleId="11">
    <w:name w:val="页眉 字符"/>
    <w:basedOn w:val="8"/>
    <w:link w:val="6"/>
    <w:qFormat/>
    <w:uiPriority w:val="99"/>
    <w:rPr>
      <w:sz w:val="18"/>
      <w:szCs w:val="18"/>
    </w:rPr>
  </w:style>
  <w:style w:type="character" w:customStyle="1" w:styleId="12">
    <w:name w:val="页脚 字符"/>
    <w:basedOn w:val="8"/>
    <w:link w:val="5"/>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3220</Words>
  <Characters>5638</Characters>
  <Lines>82</Lines>
  <Paragraphs>23</Paragraphs>
  <TotalTime>19</TotalTime>
  <ScaleCrop>false</ScaleCrop>
  <LinksUpToDate>false</LinksUpToDate>
  <CharactersWithSpaces>5662</CharactersWithSpaces>
  <Application>WPS Office_11.3.0.8632_F1E327BC-269C-435d-A152-05C5408002CA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2023-08-11T08:11:00Z</dcterms:created>
  <dc:creator>office</dc:creator>
  <cp:lastModifiedBy>Administrator</cp:lastModifiedBy>
  <dcterms:modified xsi:type="dcterms:W3CDTF">2024-08-20T07:25:34Z</dcterms:modified>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2052-11.3.0.8632</vt:lpwstr>
  </property>
  <property fmtid="{D5CDD505-2E9C-101B-9397-08002B2CF9AE}" pid="3" name="ICV">
    <vt:lpwstr>A44E0A178634409BBBA50D5636087390_13</vt:lpwstr>
  </property>
</Properties>
</file>